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30EC" w14:textId="77777777" w:rsidR="000C2B4C" w:rsidRPr="00FB7E64" w:rsidRDefault="004A3E72" w:rsidP="00FB7E64">
      <w:pPr>
        <w:pStyle w:val="2"/>
        <w:spacing w:before="0" w:beforeAutospacing="0" w:after="0" w:afterAutospacing="0" w:line="276" w:lineRule="auto"/>
        <w:ind w:left="6379"/>
        <w:divId w:val="127866015"/>
        <w:rPr>
          <w:rFonts w:eastAsia="Times New Roman"/>
          <w:b w:val="0"/>
          <w:bCs w:val="0"/>
          <w:sz w:val="27"/>
          <w:szCs w:val="27"/>
        </w:rPr>
      </w:pPr>
      <w:r w:rsidRPr="00FB7E64">
        <w:rPr>
          <w:rFonts w:eastAsia="Times New Roman"/>
          <w:b w:val="0"/>
          <w:bCs w:val="0"/>
          <w:sz w:val="27"/>
          <w:szCs w:val="27"/>
        </w:rPr>
        <w:t xml:space="preserve">Приложение 2 </w:t>
      </w:r>
    </w:p>
    <w:p w14:paraId="143BA4CE" w14:textId="77777777" w:rsidR="00D40559" w:rsidRPr="00FB7E64" w:rsidRDefault="004A3E72" w:rsidP="00FB7E64">
      <w:pPr>
        <w:spacing w:line="276" w:lineRule="auto"/>
        <w:ind w:left="6379"/>
        <w:divId w:val="127866015"/>
        <w:rPr>
          <w:sz w:val="27"/>
          <w:szCs w:val="27"/>
        </w:rPr>
      </w:pPr>
      <w:r w:rsidRPr="00FB7E64">
        <w:rPr>
          <w:sz w:val="27"/>
          <w:szCs w:val="27"/>
        </w:rPr>
        <w:t xml:space="preserve">к </w:t>
      </w:r>
      <w:r w:rsidR="00D40559" w:rsidRPr="00FB7E64">
        <w:rPr>
          <w:sz w:val="27"/>
          <w:szCs w:val="27"/>
        </w:rPr>
        <w:t>приказ</w:t>
      </w:r>
      <w:r w:rsidRPr="00FB7E64">
        <w:rPr>
          <w:sz w:val="27"/>
          <w:szCs w:val="27"/>
        </w:rPr>
        <w:t xml:space="preserve">у </w:t>
      </w:r>
      <w:r w:rsidR="00D40559" w:rsidRPr="00FB7E64">
        <w:rPr>
          <w:sz w:val="27"/>
          <w:szCs w:val="27"/>
        </w:rPr>
        <w:t xml:space="preserve">КУ РА ЦБУ </w:t>
      </w:r>
    </w:p>
    <w:p w14:paraId="4F2E28DC" w14:textId="0C0F6D74" w:rsidR="00D40559" w:rsidRPr="00FB7E64" w:rsidRDefault="00D40559" w:rsidP="00FB7E64">
      <w:pPr>
        <w:spacing w:line="276" w:lineRule="auto"/>
        <w:ind w:left="6379"/>
        <w:divId w:val="127866015"/>
        <w:rPr>
          <w:sz w:val="27"/>
          <w:szCs w:val="27"/>
        </w:rPr>
      </w:pPr>
      <w:r w:rsidRPr="00FB7E64">
        <w:rPr>
          <w:sz w:val="27"/>
          <w:szCs w:val="27"/>
        </w:rPr>
        <w:t>от «</w:t>
      </w:r>
      <w:r w:rsidR="006F5A43" w:rsidRPr="00FB7E64">
        <w:rPr>
          <w:sz w:val="27"/>
          <w:szCs w:val="27"/>
        </w:rPr>
        <w:t>29</w:t>
      </w:r>
      <w:r w:rsidRPr="00FB7E64">
        <w:rPr>
          <w:sz w:val="27"/>
          <w:szCs w:val="27"/>
        </w:rPr>
        <w:t>» декабря 202</w:t>
      </w:r>
      <w:r w:rsidR="006F5A43" w:rsidRPr="00FB7E64">
        <w:rPr>
          <w:sz w:val="27"/>
          <w:szCs w:val="27"/>
        </w:rPr>
        <w:t>3</w:t>
      </w:r>
      <w:r w:rsidRPr="00FB7E64">
        <w:rPr>
          <w:sz w:val="27"/>
          <w:szCs w:val="27"/>
        </w:rPr>
        <w:t xml:space="preserve"> г. № </w:t>
      </w:r>
      <w:r w:rsidR="006F5A43" w:rsidRPr="00FB7E64">
        <w:rPr>
          <w:sz w:val="27"/>
          <w:szCs w:val="27"/>
        </w:rPr>
        <w:t>88</w:t>
      </w:r>
      <w:r w:rsidRPr="00FB7E64">
        <w:rPr>
          <w:sz w:val="27"/>
          <w:szCs w:val="27"/>
        </w:rPr>
        <w:t>-п</w:t>
      </w:r>
    </w:p>
    <w:p w14:paraId="38E25857" w14:textId="77777777" w:rsidR="000C2B4C" w:rsidRPr="00FB7E64" w:rsidRDefault="000C2B4C" w:rsidP="00FB7E64">
      <w:pPr>
        <w:pStyle w:val="2"/>
        <w:spacing w:before="0" w:beforeAutospacing="0" w:after="0" w:afterAutospacing="0" w:line="276" w:lineRule="auto"/>
        <w:divId w:val="127866015"/>
        <w:rPr>
          <w:rFonts w:eastAsia="Times New Roman"/>
          <w:b w:val="0"/>
          <w:bCs w:val="0"/>
          <w:sz w:val="27"/>
          <w:szCs w:val="27"/>
        </w:rPr>
      </w:pPr>
    </w:p>
    <w:p w14:paraId="5E63C1F8" w14:textId="77777777" w:rsidR="0034391A" w:rsidRPr="00FB7E64" w:rsidRDefault="004A3E72" w:rsidP="00FB7E64">
      <w:pPr>
        <w:spacing w:line="276" w:lineRule="auto"/>
        <w:ind w:right="3"/>
        <w:jc w:val="center"/>
        <w:divId w:val="1555776471"/>
        <w:rPr>
          <w:b/>
          <w:bCs/>
          <w:sz w:val="27"/>
          <w:szCs w:val="27"/>
        </w:rPr>
      </w:pPr>
      <w:r w:rsidRPr="00FB7E64">
        <w:rPr>
          <w:b/>
          <w:bCs/>
          <w:sz w:val="27"/>
          <w:szCs w:val="27"/>
        </w:rPr>
        <w:t>О</w:t>
      </w:r>
      <w:r w:rsidR="0034391A" w:rsidRPr="00FB7E64">
        <w:rPr>
          <w:b/>
          <w:bCs/>
          <w:sz w:val="27"/>
          <w:szCs w:val="27"/>
        </w:rPr>
        <w:t>СНОВНЫЕ ПОЛОЖЕНИЯ</w:t>
      </w:r>
    </w:p>
    <w:p w14:paraId="3415220F" w14:textId="77777777" w:rsidR="004A3E72" w:rsidRPr="00FB7E64" w:rsidRDefault="004A3E72" w:rsidP="00FB7E64">
      <w:pPr>
        <w:spacing w:line="276" w:lineRule="auto"/>
        <w:ind w:right="3"/>
        <w:jc w:val="center"/>
        <w:divId w:val="1555776471"/>
        <w:rPr>
          <w:sz w:val="27"/>
          <w:szCs w:val="27"/>
        </w:rPr>
      </w:pPr>
      <w:r w:rsidRPr="00FB7E64">
        <w:rPr>
          <w:sz w:val="27"/>
          <w:szCs w:val="27"/>
        </w:rPr>
        <w:t>Единой учетной политики учреждений, в отношении которых Казенное учреждение Республики Алтай «Центр бюджетного учета и отчетности» осуществляют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иной обязательной отчетности, формируемой на основании данных бюджетного (бухгалтерского) учета, по обеспечению представления такой отчетности в соответствующие государственные органы</w:t>
      </w:r>
    </w:p>
    <w:p w14:paraId="29C8608F" w14:textId="77777777" w:rsidR="00873359" w:rsidRPr="00FB7E64" w:rsidRDefault="00873359" w:rsidP="00FB7E64">
      <w:pPr>
        <w:spacing w:line="276" w:lineRule="auto"/>
        <w:ind w:right="3"/>
        <w:jc w:val="center"/>
        <w:divId w:val="1555776471"/>
        <w:rPr>
          <w:bCs/>
          <w:sz w:val="27"/>
          <w:szCs w:val="27"/>
        </w:rPr>
      </w:pPr>
    </w:p>
    <w:p w14:paraId="072D0FE4" w14:textId="77777777" w:rsidR="0060574F" w:rsidRPr="00FB7E64" w:rsidRDefault="009C3869" w:rsidP="00FB7E64">
      <w:pPr>
        <w:spacing w:line="276" w:lineRule="auto"/>
        <w:divId w:val="262416999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1. </w:t>
      </w:r>
      <w:r w:rsidRPr="00FB7E64">
        <w:rPr>
          <w:rStyle w:val="docuntyped-name"/>
          <w:rFonts w:eastAsia="Times New Roman"/>
          <w:b/>
          <w:bCs/>
          <w:sz w:val="27"/>
          <w:szCs w:val="27"/>
        </w:rPr>
        <w:t>Общие положения</w:t>
      </w:r>
    </w:p>
    <w:p w14:paraId="66C74B4F" w14:textId="0FB4848E" w:rsidR="000F6CC3" w:rsidRPr="00FB7E64" w:rsidRDefault="009C3869" w:rsidP="00FB7E64">
      <w:pPr>
        <w:spacing w:line="276" w:lineRule="auto"/>
        <w:ind w:firstLine="708"/>
        <w:jc w:val="both"/>
        <w:divId w:val="550389225"/>
        <w:rPr>
          <w:rFonts w:eastAsia="Times New Roman"/>
          <w:sz w:val="27"/>
          <w:szCs w:val="27"/>
        </w:rPr>
      </w:pPr>
      <w:r w:rsidRPr="00FB7E64">
        <w:rPr>
          <w:rFonts w:eastAsia="Times New Roman"/>
          <w:sz w:val="27"/>
          <w:szCs w:val="27"/>
        </w:rPr>
        <w:t xml:space="preserve">Особенности ведения централизованного </w:t>
      </w:r>
      <w:r w:rsidR="00873359" w:rsidRPr="00FB7E64">
        <w:rPr>
          <w:rFonts w:eastAsia="Times New Roman"/>
          <w:sz w:val="27"/>
          <w:szCs w:val="27"/>
        </w:rPr>
        <w:t>бюджетного (</w:t>
      </w:r>
      <w:r w:rsidRPr="00FB7E64">
        <w:rPr>
          <w:rFonts w:eastAsia="Times New Roman"/>
          <w:sz w:val="27"/>
          <w:szCs w:val="27"/>
        </w:rPr>
        <w:t>бухгалтерского</w:t>
      </w:r>
      <w:r w:rsidR="00873359" w:rsidRPr="00FB7E64">
        <w:rPr>
          <w:rFonts w:eastAsia="Times New Roman"/>
          <w:sz w:val="27"/>
          <w:szCs w:val="27"/>
        </w:rPr>
        <w:t>)</w:t>
      </w:r>
      <w:r w:rsidRPr="00FB7E64">
        <w:rPr>
          <w:rFonts w:eastAsia="Times New Roman"/>
          <w:sz w:val="27"/>
          <w:szCs w:val="27"/>
        </w:rPr>
        <w:t xml:space="preserve"> учета </w:t>
      </w:r>
      <w:r w:rsidR="00873359" w:rsidRPr="00FB7E64">
        <w:rPr>
          <w:rFonts w:eastAsia="Times New Roman"/>
          <w:sz w:val="27"/>
          <w:szCs w:val="27"/>
        </w:rPr>
        <w:t xml:space="preserve">(далее – бухгалтерского учета) </w:t>
      </w:r>
      <w:r w:rsidRPr="00FB7E64">
        <w:rPr>
          <w:rFonts w:eastAsia="Times New Roman"/>
          <w:sz w:val="27"/>
          <w:szCs w:val="27"/>
        </w:rPr>
        <w:t>применяются последовательно из года в год.</w:t>
      </w:r>
    </w:p>
    <w:p w14:paraId="688AE1DC" w14:textId="77777777" w:rsidR="0060574F" w:rsidRPr="00FB7E64" w:rsidRDefault="009C3869" w:rsidP="00FB7E64">
      <w:pPr>
        <w:spacing w:line="276" w:lineRule="auto"/>
        <w:divId w:val="71581992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2. </w:t>
      </w:r>
      <w:r w:rsidRPr="00FB7E64">
        <w:rPr>
          <w:rStyle w:val="docuntyped-name"/>
          <w:rFonts w:eastAsia="Times New Roman"/>
          <w:b/>
          <w:bCs/>
          <w:sz w:val="27"/>
          <w:szCs w:val="27"/>
        </w:rPr>
        <w:t>Основные способы ведения бухгалтерского учета</w:t>
      </w:r>
    </w:p>
    <w:p w14:paraId="3307B1E7" w14:textId="2D2279A1" w:rsidR="008C0068" w:rsidRPr="00FB7E64" w:rsidRDefault="00CB0BE2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Формы р</w:t>
      </w:r>
      <w:r w:rsidR="009C3869" w:rsidRPr="00FB7E64">
        <w:rPr>
          <w:sz w:val="27"/>
          <w:szCs w:val="27"/>
        </w:rPr>
        <w:t>егистр</w:t>
      </w:r>
      <w:r w:rsidRPr="00FB7E64">
        <w:rPr>
          <w:sz w:val="27"/>
          <w:szCs w:val="27"/>
        </w:rPr>
        <w:t>ов</w:t>
      </w:r>
      <w:r w:rsidR="009C3869" w:rsidRPr="00FB7E64">
        <w:rPr>
          <w:sz w:val="27"/>
          <w:szCs w:val="27"/>
        </w:rPr>
        <w:t xml:space="preserve"> бухгалтерского учета, ины</w:t>
      </w:r>
      <w:r w:rsidRPr="00FB7E64">
        <w:rPr>
          <w:sz w:val="27"/>
          <w:szCs w:val="27"/>
        </w:rPr>
        <w:t>х</w:t>
      </w:r>
      <w:r w:rsidR="009C3869" w:rsidRPr="00FB7E64">
        <w:rPr>
          <w:sz w:val="27"/>
          <w:szCs w:val="27"/>
        </w:rPr>
        <w:t xml:space="preserve"> документ</w:t>
      </w:r>
      <w:r w:rsidRPr="00FB7E64">
        <w:rPr>
          <w:sz w:val="27"/>
          <w:szCs w:val="27"/>
        </w:rPr>
        <w:t>ов</w:t>
      </w:r>
      <w:r w:rsidR="009C3869" w:rsidRPr="00FB7E64">
        <w:rPr>
          <w:sz w:val="27"/>
          <w:szCs w:val="27"/>
        </w:rPr>
        <w:t xml:space="preserve"> бухгалтерского учета, применяемы</w:t>
      </w:r>
      <w:r w:rsidRPr="00FB7E64">
        <w:rPr>
          <w:sz w:val="27"/>
          <w:szCs w:val="27"/>
        </w:rPr>
        <w:t>х</w:t>
      </w:r>
      <w:r w:rsidR="009C3869" w:rsidRPr="00FB7E64">
        <w:rPr>
          <w:sz w:val="27"/>
          <w:szCs w:val="27"/>
        </w:rPr>
        <w:t xml:space="preserve"> для ведения централизованного бухгалтерского учета, по которым нормативными правовыми актами, регулирующими ведение б</w:t>
      </w:r>
      <w:r w:rsidR="00D11355" w:rsidRPr="00FB7E64">
        <w:rPr>
          <w:sz w:val="27"/>
          <w:szCs w:val="27"/>
        </w:rPr>
        <w:t>ухгалтерского</w:t>
      </w:r>
      <w:r w:rsidR="009C3869" w:rsidRPr="00FB7E64">
        <w:rPr>
          <w:sz w:val="27"/>
          <w:szCs w:val="27"/>
        </w:rPr>
        <w:t xml:space="preserve"> учета, формирования бюджетной отчетности, не предусмотрены обязательные для их оформления формы документов, устанавливаются в соответствии с требованиями нормативных правовых актов, регулирующих ведение </w:t>
      </w:r>
      <w:r w:rsidR="00D11355" w:rsidRPr="00FB7E64">
        <w:rPr>
          <w:sz w:val="27"/>
          <w:szCs w:val="27"/>
        </w:rPr>
        <w:t>бухгалтерского</w:t>
      </w:r>
      <w:r w:rsidR="009C3869" w:rsidRPr="00FB7E64">
        <w:rPr>
          <w:sz w:val="27"/>
          <w:szCs w:val="27"/>
        </w:rPr>
        <w:t xml:space="preserve"> учета, формирования бюджетной отчетности</w:t>
      </w:r>
      <w:r w:rsidRPr="00FB7E64">
        <w:rPr>
          <w:sz w:val="27"/>
          <w:szCs w:val="27"/>
        </w:rPr>
        <w:t xml:space="preserve"> а так же Единой учетной политикой</w:t>
      </w:r>
      <w:r w:rsidR="009C3869" w:rsidRPr="00FB7E64">
        <w:rPr>
          <w:sz w:val="27"/>
          <w:szCs w:val="27"/>
        </w:rPr>
        <w:t>.</w:t>
      </w:r>
    </w:p>
    <w:p w14:paraId="4940C3DC" w14:textId="77777777" w:rsidR="008C0068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Первичные учетные документы, составленные на иностранном языке, должны иметь построчный перевод на русский язык, осуществляемый сотрудником </w:t>
      </w:r>
      <w:r w:rsidR="00A12EA3" w:rsidRPr="00FB7E64">
        <w:rPr>
          <w:sz w:val="27"/>
          <w:szCs w:val="27"/>
        </w:rPr>
        <w:t>С</w:t>
      </w:r>
      <w:r w:rsidRPr="00FB7E64">
        <w:rPr>
          <w:sz w:val="27"/>
          <w:szCs w:val="27"/>
        </w:rPr>
        <w:t>убъекта централизованного учета, определенным приказом субъекта централизованного учета либо сторонним специалистом, привлеченным субъектом централизованного учета на договорной основе, либо самостоятельно лицом, предоставившим документ (под его ответственность за корректность данного перевода).</w:t>
      </w:r>
    </w:p>
    <w:p w14:paraId="54A699B3" w14:textId="77777777" w:rsidR="00CB0BE2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lastRenderedPageBreak/>
        <w:t>Формирование регистров бухгалтерского учета</w:t>
      </w:r>
      <w:r w:rsidR="00CB0BE2" w:rsidRPr="00FB7E64">
        <w:rPr>
          <w:sz w:val="27"/>
          <w:szCs w:val="27"/>
        </w:rPr>
        <w:t>, главной книги,</w:t>
      </w:r>
      <w:r w:rsidRPr="00FB7E64">
        <w:rPr>
          <w:sz w:val="27"/>
          <w:szCs w:val="27"/>
        </w:rPr>
        <w:t xml:space="preserve"> осуществляется в форме электронного документа (регистра)</w:t>
      </w:r>
      <w:r w:rsidR="00CB0BE2" w:rsidRPr="00FB7E64">
        <w:rPr>
          <w:sz w:val="27"/>
          <w:szCs w:val="27"/>
        </w:rPr>
        <w:t>, либо на бумажном носителе</w:t>
      </w:r>
      <w:r w:rsidR="00266D33" w:rsidRPr="00FB7E64">
        <w:rPr>
          <w:sz w:val="27"/>
          <w:szCs w:val="27"/>
        </w:rPr>
        <w:t>,</w:t>
      </w:r>
      <w:r w:rsidR="00CB0BE2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 xml:space="preserve">ежемесячно с использованием усиленной квалифицированной электронной подписи </w:t>
      </w:r>
      <w:r w:rsidR="00CB0BE2" w:rsidRPr="00FB7E64">
        <w:rPr>
          <w:sz w:val="27"/>
          <w:szCs w:val="27"/>
        </w:rPr>
        <w:t>(собственноручной подписи) отдельно по каждому субъекту централизованного учета.</w:t>
      </w:r>
    </w:p>
    <w:p w14:paraId="16634C82" w14:textId="77777777" w:rsidR="00266D33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Учет расчетов с дебиторами и кредиторами ведется на основании предъявленных к оплате счетов, накладных, актов выполненных работ и других первичных учетных документов</w:t>
      </w:r>
      <w:r w:rsidR="00266D33" w:rsidRPr="00FB7E64">
        <w:rPr>
          <w:sz w:val="27"/>
          <w:szCs w:val="27"/>
        </w:rPr>
        <w:t xml:space="preserve">, направляемых в централизованную бухгалтерию Субъектами </w:t>
      </w:r>
      <w:r w:rsidR="00A12EA3" w:rsidRPr="00FB7E64">
        <w:rPr>
          <w:sz w:val="27"/>
          <w:szCs w:val="27"/>
        </w:rPr>
        <w:t xml:space="preserve">централизованного </w:t>
      </w:r>
      <w:r w:rsidR="00266D33" w:rsidRPr="00FB7E64">
        <w:rPr>
          <w:sz w:val="27"/>
          <w:szCs w:val="27"/>
        </w:rPr>
        <w:t>учета посредством Заявки на платеж.</w:t>
      </w:r>
    </w:p>
    <w:p w14:paraId="7A7AE0F4" w14:textId="3BDBCE67" w:rsidR="00266D33" w:rsidRPr="00FB7E64" w:rsidRDefault="00266D33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Отражение фактов хозяйственной жизни Субъекта </w:t>
      </w:r>
      <w:r w:rsidR="00A12EA3" w:rsidRPr="00FB7E64">
        <w:rPr>
          <w:sz w:val="27"/>
          <w:szCs w:val="27"/>
        </w:rPr>
        <w:t xml:space="preserve">централизованного </w:t>
      </w:r>
      <w:r w:rsidRPr="00FB7E64">
        <w:rPr>
          <w:sz w:val="27"/>
          <w:szCs w:val="27"/>
        </w:rPr>
        <w:t xml:space="preserve">учета на основании первичных учетных документов, поступивших от Субъекта </w:t>
      </w:r>
      <w:r w:rsidR="00D11355" w:rsidRPr="00FB7E64">
        <w:rPr>
          <w:sz w:val="27"/>
          <w:szCs w:val="27"/>
        </w:rPr>
        <w:t xml:space="preserve">централизованного </w:t>
      </w:r>
      <w:r w:rsidRPr="00FB7E64">
        <w:rPr>
          <w:sz w:val="27"/>
          <w:szCs w:val="27"/>
        </w:rPr>
        <w:t xml:space="preserve">учета в месяце, следующим за отчетным: </w:t>
      </w:r>
    </w:p>
    <w:p w14:paraId="5714E6A7" w14:textId="77777777" w:rsidR="00266D33" w:rsidRPr="00FB7E64" w:rsidRDefault="00266D33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1) до 5 числа месяца следующего за отчетным - отражаются предыдущим месяцем;</w:t>
      </w:r>
    </w:p>
    <w:p w14:paraId="57E171CD" w14:textId="77777777" w:rsidR="00266D33" w:rsidRPr="00FB7E64" w:rsidRDefault="00266D33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2) позднее 5 числа месяца следующего за отчетным - отражаются месяцем их поступления; </w:t>
      </w:r>
    </w:p>
    <w:p w14:paraId="7ED7BD34" w14:textId="77777777" w:rsidR="00266D33" w:rsidRPr="00FB7E64" w:rsidRDefault="00266D33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3) за 10 и более рабочих дней до даты представления отчетности за год - отражаются предыдущим месяцем;</w:t>
      </w:r>
    </w:p>
    <w:p w14:paraId="35827E22" w14:textId="77777777" w:rsidR="00266D33" w:rsidRPr="00FB7E64" w:rsidRDefault="00266D33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4) менее 10 рабочих дней до даты представления отчетности за год - отражаются месяцем их поступления.</w:t>
      </w:r>
    </w:p>
    <w:p w14:paraId="6A2DBD22" w14:textId="77777777" w:rsidR="0060574F" w:rsidRPr="00FB7E64" w:rsidRDefault="009C3869" w:rsidP="00FB7E64">
      <w:pPr>
        <w:spacing w:line="276" w:lineRule="auto"/>
        <w:jc w:val="both"/>
        <w:divId w:val="1776556792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3. </w:t>
      </w:r>
      <w:r w:rsidRPr="00FB7E64">
        <w:rPr>
          <w:rStyle w:val="docuntyped-name"/>
          <w:rFonts w:eastAsia="Times New Roman"/>
          <w:b/>
          <w:bCs/>
          <w:sz w:val="27"/>
          <w:szCs w:val="27"/>
        </w:rPr>
        <w:t>Учет нефинансовых активов</w:t>
      </w:r>
    </w:p>
    <w:p w14:paraId="77BDB8EF" w14:textId="77777777" w:rsidR="004143C9" w:rsidRPr="00FB7E64" w:rsidRDefault="009C3869" w:rsidP="00FB7E64">
      <w:pPr>
        <w:spacing w:line="276" w:lineRule="auto"/>
        <w:ind w:firstLine="708"/>
        <w:jc w:val="both"/>
        <w:divId w:val="497113335"/>
        <w:rPr>
          <w:sz w:val="27"/>
          <w:szCs w:val="27"/>
        </w:rPr>
      </w:pPr>
      <w:r w:rsidRPr="00FB7E64">
        <w:rPr>
          <w:sz w:val="27"/>
          <w:szCs w:val="27"/>
        </w:rPr>
        <w:t>Классификация объектов бухгалтерского учета в виде операций, возникающих при получении (передаче) во временное владение и пользование или во временное пользование по договору аренды (имущественного найма) либо по договору безвозмездного пользования объектов имущества, признаваемых для целей бухгалтерского учета объектами учета аренды, либо объектами основных средств, а также оценка указанных объектов бухгалтерского учета, осуществляется на дату принятия субъектом централизованного учета обязательств в отношении основных условий пользования и содержания имущества, предусмотренных договором.</w:t>
      </w:r>
    </w:p>
    <w:p w14:paraId="446CA521" w14:textId="77777777" w:rsidR="0020200A" w:rsidRPr="00FB7E64" w:rsidRDefault="0020200A" w:rsidP="00FB7E64">
      <w:pPr>
        <w:spacing w:line="276" w:lineRule="auto"/>
        <w:ind w:firstLine="708"/>
        <w:jc w:val="both"/>
        <w:divId w:val="497113335"/>
        <w:rPr>
          <w:sz w:val="27"/>
          <w:szCs w:val="27"/>
        </w:rPr>
      </w:pPr>
      <w:r w:rsidRPr="00FB7E64">
        <w:rPr>
          <w:sz w:val="27"/>
          <w:szCs w:val="27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по поступлению и выбытию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14:paraId="1707CA04" w14:textId="77777777" w:rsidR="0020200A" w:rsidRPr="00FB7E64" w:rsidRDefault="0020200A" w:rsidP="00FB7E64">
      <w:pPr>
        <w:spacing w:line="276" w:lineRule="auto"/>
        <w:ind w:firstLine="709"/>
        <w:jc w:val="both"/>
        <w:divId w:val="497113335"/>
        <w:rPr>
          <w:sz w:val="27"/>
          <w:szCs w:val="27"/>
        </w:rPr>
      </w:pPr>
      <w:bookmarkStart w:id="0" w:name="_ref_2-34adf91607fa4e"/>
      <w:r w:rsidRPr="00FB7E64">
        <w:rPr>
          <w:sz w:val="27"/>
          <w:szCs w:val="27"/>
        </w:rPr>
        <w:lastRenderedPageBreak/>
        <w:t>Первоначальной стоимостью нефинансовых активов, поступивших по договорам дарения, пожертвования, признается их справедливая стоимость на дату принятия к учету.</w:t>
      </w:r>
      <w:bookmarkEnd w:id="0"/>
    </w:p>
    <w:p w14:paraId="20DDCBEE" w14:textId="77777777" w:rsidR="0020200A" w:rsidRPr="00FB7E64" w:rsidRDefault="0020200A" w:rsidP="00FB7E64">
      <w:pPr>
        <w:spacing w:line="276" w:lineRule="auto"/>
        <w:ind w:firstLine="709"/>
        <w:jc w:val="both"/>
        <w:divId w:val="497113335"/>
        <w:rPr>
          <w:sz w:val="27"/>
          <w:szCs w:val="27"/>
        </w:rPr>
      </w:pPr>
      <w:r w:rsidRPr="00FB7E64">
        <w:rPr>
          <w:sz w:val="27"/>
          <w:szCs w:val="27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учету.</w:t>
      </w:r>
    </w:p>
    <w:p w14:paraId="77E52015" w14:textId="77777777" w:rsidR="0020200A" w:rsidRPr="00FB7E64" w:rsidRDefault="0020200A" w:rsidP="00FB7E64">
      <w:pPr>
        <w:spacing w:line="276" w:lineRule="auto"/>
        <w:ind w:firstLine="709"/>
        <w:jc w:val="both"/>
        <w:divId w:val="497113335"/>
        <w:rPr>
          <w:sz w:val="27"/>
          <w:szCs w:val="27"/>
        </w:rPr>
      </w:pPr>
      <w:r w:rsidRPr="00FB7E64">
        <w:rPr>
          <w:sz w:val="27"/>
          <w:szCs w:val="27"/>
        </w:rPr>
        <w:t>Справедливая стоимость имущества определяется комиссией методом рыночных цен, а при невозможности его использовать - методом амортизированной стоимости замещения.</w:t>
      </w:r>
    </w:p>
    <w:p w14:paraId="2C0CAF6E" w14:textId="77777777" w:rsidR="0020200A" w:rsidRPr="00FB7E64" w:rsidRDefault="0020200A" w:rsidP="00FB7E64">
      <w:pPr>
        <w:spacing w:line="276" w:lineRule="auto"/>
        <w:ind w:firstLine="709"/>
        <w:jc w:val="both"/>
        <w:divId w:val="497113335"/>
        <w:rPr>
          <w:sz w:val="27"/>
          <w:szCs w:val="27"/>
        </w:rPr>
      </w:pPr>
    </w:p>
    <w:p w14:paraId="7DB2D4B7" w14:textId="77777777" w:rsidR="008D43AF" w:rsidRPr="00FB7E64" w:rsidRDefault="0020200A" w:rsidP="00FB7E64">
      <w:pPr>
        <w:spacing w:line="276" w:lineRule="auto"/>
        <w:jc w:val="both"/>
        <w:divId w:val="497113335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4. 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>Учет объектов основных средств</w:t>
      </w:r>
    </w:p>
    <w:p w14:paraId="509774CE" w14:textId="77777777" w:rsidR="00B0748B" w:rsidRPr="00FB7E64" w:rsidRDefault="009C3869" w:rsidP="00FB7E64">
      <w:pPr>
        <w:spacing w:line="276" w:lineRule="auto"/>
        <w:ind w:firstLine="708"/>
        <w:jc w:val="both"/>
        <w:divId w:val="2097169686"/>
        <w:rPr>
          <w:sz w:val="27"/>
          <w:szCs w:val="27"/>
        </w:rPr>
      </w:pPr>
      <w:r w:rsidRPr="00FB7E64">
        <w:rPr>
          <w:rStyle w:val="docuntyped-name"/>
          <w:rFonts w:eastAsia="Times New Roman"/>
          <w:sz w:val="27"/>
          <w:szCs w:val="27"/>
        </w:rPr>
        <w:t>Структура кодовых обозначений инвентарного номера объекта основных средств</w:t>
      </w:r>
      <w:r w:rsidR="008D43AF" w:rsidRPr="00FB7E64">
        <w:rPr>
          <w:rStyle w:val="docuntyped-name"/>
          <w:rFonts w:eastAsia="Times New Roman"/>
          <w:sz w:val="27"/>
          <w:szCs w:val="27"/>
        </w:rPr>
        <w:t xml:space="preserve"> </w:t>
      </w:r>
      <w:r w:rsidR="0020200A" w:rsidRPr="00FB7E64">
        <w:rPr>
          <w:sz w:val="27"/>
          <w:szCs w:val="27"/>
        </w:rPr>
        <w:t>состоит из одиннадцати знаков и присваивается в следующем порядке:</w:t>
      </w:r>
    </w:p>
    <w:p w14:paraId="5D68D448" w14:textId="77777777" w:rsidR="0020200A" w:rsidRPr="00FB7E64" w:rsidRDefault="0020200A" w:rsidP="00FB7E64">
      <w:pPr>
        <w:spacing w:line="276" w:lineRule="auto"/>
        <w:ind w:firstLine="708"/>
        <w:jc w:val="both"/>
        <w:divId w:val="2097169686"/>
        <w:rPr>
          <w:sz w:val="27"/>
          <w:szCs w:val="27"/>
        </w:rPr>
      </w:pPr>
      <w:r w:rsidRPr="00FB7E64">
        <w:rPr>
          <w:sz w:val="27"/>
          <w:szCs w:val="27"/>
        </w:rPr>
        <w:t>а) для казенного Учреждения:</w:t>
      </w:r>
    </w:p>
    <w:p w14:paraId="19A4B902" w14:textId="77777777" w:rsidR="0020200A" w:rsidRPr="00FB7E64" w:rsidRDefault="0020200A" w:rsidP="00FB7E64">
      <w:pPr>
        <w:spacing w:line="276" w:lineRule="auto"/>
        <w:ind w:firstLine="709"/>
        <w:jc w:val="both"/>
        <w:divId w:val="2097169686"/>
        <w:rPr>
          <w:sz w:val="27"/>
          <w:szCs w:val="27"/>
        </w:rPr>
      </w:pPr>
      <w:bookmarkStart w:id="1" w:name="_Hlk75516234"/>
      <w:r w:rsidRPr="00FB7E64">
        <w:rPr>
          <w:sz w:val="27"/>
          <w:szCs w:val="27"/>
        </w:rPr>
        <w:t>1-й разряд</w:t>
      </w:r>
      <w:r w:rsidR="00B0748B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– код финансового обеспечения;</w:t>
      </w:r>
    </w:p>
    <w:p w14:paraId="5F5A35F3" w14:textId="77777777" w:rsidR="0020200A" w:rsidRPr="00FB7E64" w:rsidRDefault="0020200A" w:rsidP="00FB7E64">
      <w:pPr>
        <w:spacing w:line="276" w:lineRule="auto"/>
        <w:ind w:firstLine="709"/>
        <w:jc w:val="both"/>
        <w:divId w:val="2097169686"/>
        <w:rPr>
          <w:sz w:val="27"/>
          <w:szCs w:val="27"/>
        </w:rPr>
      </w:pPr>
      <w:r w:rsidRPr="00FB7E64">
        <w:rPr>
          <w:sz w:val="27"/>
          <w:szCs w:val="27"/>
        </w:rPr>
        <w:t>2 – 4-й разряды – код объекта учета синтетического счета в Плане счетов бюджетного учета (Инструкция №</w:t>
      </w:r>
      <w:r w:rsidR="00B0748B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162н);</w:t>
      </w:r>
    </w:p>
    <w:p w14:paraId="22D49C45" w14:textId="77777777" w:rsidR="0020200A" w:rsidRPr="00FB7E64" w:rsidRDefault="0020200A" w:rsidP="00FB7E64">
      <w:pPr>
        <w:spacing w:line="276" w:lineRule="auto"/>
        <w:ind w:firstLine="709"/>
        <w:jc w:val="both"/>
        <w:divId w:val="2097169686"/>
        <w:rPr>
          <w:sz w:val="27"/>
          <w:szCs w:val="27"/>
        </w:rPr>
      </w:pPr>
      <w:r w:rsidRPr="00FB7E64">
        <w:rPr>
          <w:sz w:val="27"/>
          <w:szCs w:val="27"/>
        </w:rPr>
        <w:t>5 – 11-й разряды</w:t>
      </w:r>
      <w:r w:rsidR="00B0748B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– порядковый номер нефинансового актива.</w:t>
      </w:r>
    </w:p>
    <w:bookmarkEnd w:id="1"/>
    <w:p w14:paraId="517BD99C" w14:textId="03D808F2" w:rsidR="0020200A" w:rsidRPr="00FB7E64" w:rsidRDefault="0020200A" w:rsidP="00FB7E64">
      <w:pPr>
        <w:spacing w:line="276" w:lineRule="auto"/>
        <w:ind w:firstLine="720"/>
        <w:jc w:val="both"/>
        <w:divId w:val="2097169686"/>
        <w:rPr>
          <w:sz w:val="27"/>
          <w:szCs w:val="27"/>
        </w:rPr>
      </w:pPr>
      <w:r w:rsidRPr="00FB7E64">
        <w:rPr>
          <w:sz w:val="27"/>
          <w:szCs w:val="27"/>
        </w:rPr>
        <w:t>б) для бюджетного Учреждения:</w:t>
      </w:r>
    </w:p>
    <w:p w14:paraId="03845F2F" w14:textId="77777777" w:rsidR="00FB7E64" w:rsidRDefault="0020200A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1-й разряд – код финансового обеспечения;</w:t>
      </w:r>
    </w:p>
    <w:p w14:paraId="3AB36D78" w14:textId="334BF1B4" w:rsidR="00FB7E64" w:rsidRDefault="0020200A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2 – 4-й разряды – код объекта учета синтетического счета в Плане счетов бухгалтерского учета (Инструкция № 174н);</w:t>
      </w:r>
    </w:p>
    <w:p w14:paraId="0C6F80C7" w14:textId="3B0144A6" w:rsidR="00FB7E64" w:rsidRDefault="0020200A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5 – 11-й разряды – порядковый номер нефинансового актива.</w:t>
      </w:r>
    </w:p>
    <w:p w14:paraId="29AFFBDF" w14:textId="4A5A7CB8" w:rsidR="00B0748B" w:rsidRPr="00FB7E64" w:rsidRDefault="0020200A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в) для автономного Учреждения:</w:t>
      </w:r>
    </w:p>
    <w:p w14:paraId="5F5E57E7" w14:textId="77777777" w:rsidR="00B0748B" w:rsidRPr="00FB7E64" w:rsidRDefault="0020200A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1-й разряд</w:t>
      </w:r>
      <w:r w:rsidR="00B0748B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– код финансового обеспечения;</w:t>
      </w:r>
    </w:p>
    <w:p w14:paraId="415F141B" w14:textId="77777777" w:rsidR="00B0748B" w:rsidRPr="00FB7E64" w:rsidRDefault="0020200A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2–4-й разряды</w:t>
      </w:r>
      <w:r w:rsidR="00B0748B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– код объекта учета синтетического счета в Плане счетов бухгалтерского учета (Инструкция № 183н);</w:t>
      </w:r>
    </w:p>
    <w:p w14:paraId="77932BD1" w14:textId="77777777" w:rsidR="00B0748B" w:rsidRPr="00FB7E64" w:rsidRDefault="0020200A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5–11-й разряды</w:t>
      </w:r>
      <w:r w:rsidR="00B0748B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– порядковый номер нефинансового актива.</w:t>
      </w:r>
    </w:p>
    <w:p w14:paraId="6404F339" w14:textId="77777777" w:rsidR="008D43AF" w:rsidRPr="00FB7E64" w:rsidRDefault="0020200A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Срок полезного использования объектов основных средств определяется в соответствии с общероссийским классификатором основных фондов, а, в случае отсутствия в нем информации о сроке полезного использования основного средства, срок устанавливает Комиссия по поступлению и выбытию</w:t>
      </w:r>
      <w:r w:rsidR="009C3869" w:rsidRPr="00FB7E64">
        <w:rPr>
          <w:sz w:val="27"/>
          <w:szCs w:val="27"/>
        </w:rPr>
        <w:t>.</w:t>
      </w:r>
    </w:p>
    <w:p w14:paraId="2CF3CD1E" w14:textId="77777777" w:rsidR="008D43AF" w:rsidRPr="00FB7E64" w:rsidRDefault="004F03DB" w:rsidP="00FB7E64">
      <w:pPr>
        <w:spacing w:line="276" w:lineRule="auto"/>
        <w:ind w:firstLine="720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14:paraId="2010B198" w14:textId="77777777" w:rsidR="008D43AF" w:rsidRPr="00FB7E64" w:rsidRDefault="009C3869" w:rsidP="00FB7E64">
      <w:pPr>
        <w:spacing w:line="276" w:lineRule="auto"/>
        <w:ind w:firstLine="720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Справедливая стоимость объектов основных средств определяется методом рыночных цен.</w:t>
      </w:r>
    </w:p>
    <w:p w14:paraId="3B79E8D0" w14:textId="77777777" w:rsidR="004F03DB" w:rsidRPr="00FB7E64" w:rsidRDefault="004F03DB" w:rsidP="00FB7E64">
      <w:pPr>
        <w:spacing w:line="276" w:lineRule="auto"/>
        <w:ind w:firstLine="720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lastRenderedPageBreak/>
        <w:t>До момента утилизации, списание основных средств с баланса производится на 02 забалансовый счет. С забалансового счета 02 основные средства списываются на основании Акта об утилизации (уничтожении) материальных ценностей.</w:t>
      </w:r>
    </w:p>
    <w:p w14:paraId="4EE5502C" w14:textId="77777777" w:rsidR="00A67BD6" w:rsidRPr="00FB7E64" w:rsidRDefault="00A67BD6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Принятие к учету и выбытие из учета объектов недвижимого имущества, права на которые подлежат в соответствии с законодательством Российской Федерации государственной регистрации, осуществляется на основании первичных учетных документов с обязательным приложением документов, подтверждающих государственную регистрацию права или сделку.</w:t>
      </w:r>
    </w:p>
    <w:p w14:paraId="4E41954E" w14:textId="77777777" w:rsidR="00A67BD6" w:rsidRPr="00FB7E64" w:rsidRDefault="00A67BD6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Имущество, относящееся к категории особо ценного имущества (ОЦИ), определяет Комиссия по поступлению и выбытию активов Учреждения. Такое имущество принимается к учету на основании Протокола Комиссии по поступлению и выбытию.</w:t>
      </w:r>
    </w:p>
    <w:p w14:paraId="494C1171" w14:textId="77777777" w:rsidR="00A67BD6" w:rsidRPr="00FB7E64" w:rsidRDefault="00A67BD6" w:rsidP="00FB7E64">
      <w:pPr>
        <w:autoSpaceDE w:val="0"/>
        <w:autoSpaceDN w:val="0"/>
        <w:adjustRightInd w:val="0"/>
        <w:spacing w:line="276" w:lineRule="auto"/>
        <w:ind w:firstLine="720"/>
        <w:jc w:val="both"/>
        <w:divId w:val="550389225"/>
        <w:rPr>
          <w:sz w:val="27"/>
          <w:szCs w:val="27"/>
        </w:rPr>
      </w:pPr>
      <w:bookmarkStart w:id="2" w:name="_GoBack"/>
      <w:bookmarkEnd w:id="2"/>
      <w:r w:rsidRPr="00FB7E64">
        <w:rPr>
          <w:sz w:val="27"/>
          <w:szCs w:val="27"/>
        </w:rPr>
        <w:t>Основные средства стоимостью до 10 000 руб. включительно, находящиеся в эксплуатации, учитываются на забалансовом счете 21 по балансовой стоимости.</w:t>
      </w:r>
    </w:p>
    <w:p w14:paraId="0645ECE7" w14:textId="77777777" w:rsidR="00A67BD6" w:rsidRPr="00FB7E64" w:rsidRDefault="00A67BD6" w:rsidP="00FB7E64">
      <w:pPr>
        <w:autoSpaceDE w:val="0"/>
        <w:autoSpaceDN w:val="0"/>
        <w:adjustRightInd w:val="0"/>
        <w:spacing w:line="276" w:lineRule="auto"/>
        <w:ind w:firstLine="708"/>
        <w:jc w:val="both"/>
        <w:divId w:val="550389225"/>
        <w:rPr>
          <w:sz w:val="27"/>
          <w:szCs w:val="27"/>
        </w:rPr>
      </w:pPr>
      <w:bookmarkStart w:id="3" w:name="_Hlk41035179"/>
      <w:r w:rsidRPr="00FB7E64">
        <w:rPr>
          <w:sz w:val="27"/>
          <w:szCs w:val="27"/>
        </w:rPr>
        <w:t>Основные средства, выявленные при инвентаризации, принимаются к учету по справедливой стоимости, определенной Комиссией по поступлению и выбытию активов с применением метода рыночных цен.</w:t>
      </w:r>
    </w:p>
    <w:bookmarkEnd w:id="3"/>
    <w:p w14:paraId="439E0D05" w14:textId="77777777" w:rsidR="0060574F" w:rsidRPr="00FB7E64" w:rsidRDefault="008F63B5" w:rsidP="00FB7E64">
      <w:pPr>
        <w:spacing w:line="276" w:lineRule="auto"/>
        <w:divId w:val="1894000957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>5</w:t>
      </w:r>
      <w:r w:rsidR="009C3869"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. 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>Учет объектов нематериальных активов</w:t>
      </w:r>
    </w:p>
    <w:p w14:paraId="21664E03" w14:textId="77777777" w:rsidR="008F63B5" w:rsidRPr="00FB7E64" w:rsidRDefault="008F63B5" w:rsidP="00FB7E64">
      <w:pPr>
        <w:autoSpaceDE w:val="0"/>
        <w:autoSpaceDN w:val="0"/>
        <w:adjustRightInd w:val="0"/>
        <w:spacing w:line="276" w:lineRule="auto"/>
        <w:ind w:firstLine="708"/>
        <w:jc w:val="both"/>
        <w:divId w:val="550389225"/>
        <w:rPr>
          <w:rFonts w:eastAsiaTheme="minorHAnsi"/>
          <w:sz w:val="27"/>
          <w:szCs w:val="27"/>
          <w:lang w:eastAsia="en-US"/>
        </w:rPr>
      </w:pPr>
      <w:r w:rsidRPr="00FB7E64">
        <w:rPr>
          <w:rFonts w:eastAsiaTheme="minorHAnsi"/>
          <w:sz w:val="27"/>
          <w:szCs w:val="27"/>
          <w:lang w:eastAsia="en-US"/>
        </w:rPr>
        <w:t>Каждому инвентарному объекту нематериальных активов (группе объектов), прав пользования нематериальными активами (далее – НМА, ПНМА) в момент принятия к учету присваивается инвентарный порядковый номер (далее - инвентарный номер объекта нематериальных активов). Инвентарный номер объекта НМА, ПНМА состоит из одиннадцати знаков, определяемый последовательно по мере принятия к учету нематериальных активов:</w:t>
      </w:r>
    </w:p>
    <w:p w14:paraId="6CCB90B8" w14:textId="77777777" w:rsidR="008F63B5" w:rsidRPr="00FB7E64" w:rsidRDefault="008F63B5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1-й разряд</w:t>
      </w:r>
      <w:r w:rsidR="0068760E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– код финансового обеспечения;</w:t>
      </w:r>
    </w:p>
    <w:p w14:paraId="587BD58F" w14:textId="77777777" w:rsidR="008F63B5" w:rsidRPr="00FB7E64" w:rsidRDefault="008F63B5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2 – 4-й разряды – синтетический код синтетического счета объекта учета в Плане счетов учреждения;</w:t>
      </w:r>
    </w:p>
    <w:p w14:paraId="21BCAC63" w14:textId="77777777" w:rsidR="008F63B5" w:rsidRPr="00FB7E64" w:rsidRDefault="008F63B5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5 – 11-й разряды</w:t>
      </w:r>
      <w:r w:rsidR="0068760E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– порядковый номер нефинансового актива.</w:t>
      </w:r>
    </w:p>
    <w:p w14:paraId="5E2E18D8" w14:textId="77777777" w:rsidR="008F63B5" w:rsidRPr="00FB7E64" w:rsidRDefault="008F63B5" w:rsidP="00FB7E64">
      <w:pPr>
        <w:autoSpaceDE w:val="0"/>
        <w:autoSpaceDN w:val="0"/>
        <w:adjustRightInd w:val="0"/>
        <w:spacing w:line="276" w:lineRule="auto"/>
        <w:ind w:firstLine="709"/>
        <w:jc w:val="both"/>
        <w:divId w:val="550389225"/>
        <w:rPr>
          <w:rFonts w:eastAsiaTheme="minorHAnsi"/>
          <w:sz w:val="27"/>
          <w:szCs w:val="27"/>
          <w:lang w:eastAsia="en-US"/>
        </w:rPr>
      </w:pPr>
      <w:r w:rsidRPr="00FB7E64">
        <w:rPr>
          <w:rFonts w:eastAsiaTheme="minorHAnsi"/>
          <w:sz w:val="27"/>
          <w:szCs w:val="27"/>
          <w:lang w:eastAsia="en-US"/>
        </w:rPr>
        <w:t>Инвентарные номера объекта НМА, ПНМА применяются с 11 января 2021 года.</w:t>
      </w:r>
    </w:p>
    <w:p w14:paraId="297C103B" w14:textId="77777777" w:rsidR="008F63B5" w:rsidRPr="00FB7E64" w:rsidRDefault="008F63B5" w:rsidP="00FB7E64">
      <w:pPr>
        <w:spacing w:line="276" w:lineRule="auto"/>
        <w:ind w:firstLine="709"/>
        <w:jc w:val="both"/>
        <w:divId w:val="550389225"/>
        <w:rPr>
          <w:rFonts w:eastAsiaTheme="minorHAnsi"/>
          <w:sz w:val="27"/>
          <w:szCs w:val="27"/>
          <w:lang w:eastAsia="en-US"/>
        </w:rPr>
      </w:pPr>
      <w:r w:rsidRPr="00FB7E64">
        <w:rPr>
          <w:rFonts w:eastAsiaTheme="minorHAnsi"/>
          <w:sz w:val="27"/>
          <w:szCs w:val="27"/>
          <w:lang w:eastAsia="en-US"/>
        </w:rPr>
        <w:t>Комиссия по поступлению и выбытию нефинансовых активов учреждения самостоятельно принимает решение об определении срока полезного использования НМА, ПНМА, а также стоимости, определяемой по первичным учетным документам, а в случае невозможности её определения по первичным учетным документам - рассчитанной методом средних рыночных цен. В случае невозможности определения стоимости одним из названных способов, учет ведется в условной оценке – один объект – один рубль.</w:t>
      </w:r>
    </w:p>
    <w:p w14:paraId="17876148" w14:textId="77777777" w:rsidR="00050ACD" w:rsidRPr="00FB7E64" w:rsidRDefault="008F63B5" w:rsidP="00FB7E64">
      <w:pPr>
        <w:spacing w:line="276" w:lineRule="auto"/>
        <w:ind w:firstLine="709"/>
        <w:jc w:val="both"/>
        <w:divId w:val="550389225"/>
        <w:rPr>
          <w:rFonts w:eastAsiaTheme="minorHAnsi"/>
          <w:sz w:val="27"/>
          <w:szCs w:val="27"/>
          <w:lang w:eastAsia="en-US"/>
        </w:rPr>
      </w:pPr>
      <w:r w:rsidRPr="00FB7E64">
        <w:rPr>
          <w:rFonts w:eastAsiaTheme="minorHAnsi"/>
          <w:sz w:val="27"/>
          <w:szCs w:val="27"/>
          <w:lang w:eastAsia="en-US"/>
        </w:rPr>
        <w:lastRenderedPageBreak/>
        <w:t>Амортизации подлежат НМА, ПНМА с определенным сроком полезного использования:</w:t>
      </w:r>
    </w:p>
    <w:p w14:paraId="3FABC353" w14:textId="77777777" w:rsidR="00050ACD" w:rsidRPr="00FB7E64" w:rsidRDefault="00050ACD" w:rsidP="00FB7E64">
      <w:pPr>
        <w:spacing w:line="276" w:lineRule="auto"/>
        <w:ind w:firstLine="709"/>
        <w:jc w:val="both"/>
        <w:divId w:val="550389225"/>
        <w:rPr>
          <w:rFonts w:eastAsiaTheme="minorHAnsi"/>
          <w:sz w:val="27"/>
          <w:szCs w:val="27"/>
          <w:lang w:eastAsia="en-US"/>
        </w:rPr>
      </w:pPr>
      <w:r w:rsidRPr="00FB7E64">
        <w:rPr>
          <w:rFonts w:eastAsiaTheme="minorHAnsi"/>
          <w:sz w:val="27"/>
          <w:szCs w:val="27"/>
          <w:lang w:eastAsia="en-US"/>
        </w:rPr>
        <w:t xml:space="preserve">1) </w:t>
      </w:r>
      <w:r w:rsidR="008F63B5" w:rsidRPr="00FB7E64">
        <w:rPr>
          <w:rFonts w:eastAsiaTheme="minorHAnsi"/>
          <w:sz w:val="27"/>
          <w:szCs w:val="27"/>
          <w:lang w:eastAsia="en-US"/>
        </w:rPr>
        <w:t>стоимостью до 100 000 руб. включительно - в размере 100% первоначальной стоимости при признании объекта в составе группы нематериальных активов;</w:t>
      </w:r>
    </w:p>
    <w:p w14:paraId="3B711B86" w14:textId="77777777" w:rsidR="00050ACD" w:rsidRPr="00FB7E64" w:rsidRDefault="00050ACD" w:rsidP="00FB7E64">
      <w:pPr>
        <w:spacing w:line="276" w:lineRule="auto"/>
        <w:ind w:firstLine="709"/>
        <w:jc w:val="both"/>
        <w:divId w:val="550389225"/>
        <w:rPr>
          <w:rFonts w:eastAsiaTheme="minorHAnsi"/>
          <w:sz w:val="27"/>
          <w:szCs w:val="27"/>
          <w:lang w:eastAsia="en-US"/>
        </w:rPr>
      </w:pPr>
      <w:r w:rsidRPr="00FB7E64">
        <w:rPr>
          <w:rFonts w:eastAsiaTheme="minorHAnsi"/>
          <w:sz w:val="27"/>
          <w:szCs w:val="27"/>
          <w:lang w:eastAsia="en-US"/>
        </w:rPr>
        <w:t xml:space="preserve">2) </w:t>
      </w:r>
      <w:r w:rsidR="008F63B5" w:rsidRPr="00FB7E64">
        <w:rPr>
          <w:rFonts w:eastAsiaTheme="minorHAnsi"/>
          <w:sz w:val="27"/>
          <w:szCs w:val="27"/>
          <w:lang w:eastAsia="en-US"/>
        </w:rPr>
        <w:t>стоимостью свыше 100 000 руб. - по рассчитанным нормам амортизации по лине</w:t>
      </w:r>
      <w:r w:rsidRPr="00FB7E64">
        <w:rPr>
          <w:rFonts w:eastAsiaTheme="minorHAnsi"/>
          <w:sz w:val="27"/>
          <w:szCs w:val="27"/>
          <w:lang w:eastAsia="en-US"/>
        </w:rPr>
        <w:t>й</w:t>
      </w:r>
      <w:r w:rsidR="008F63B5" w:rsidRPr="00FB7E64">
        <w:rPr>
          <w:rFonts w:eastAsiaTheme="minorHAnsi"/>
          <w:sz w:val="27"/>
          <w:szCs w:val="27"/>
          <w:lang w:eastAsia="en-US"/>
        </w:rPr>
        <w:t>ному методу.</w:t>
      </w:r>
    </w:p>
    <w:p w14:paraId="7D39AB62" w14:textId="77777777" w:rsidR="008F63B5" w:rsidRPr="00FB7E64" w:rsidRDefault="008F63B5" w:rsidP="00FB7E64">
      <w:pPr>
        <w:spacing w:line="276" w:lineRule="auto"/>
        <w:ind w:right="3" w:firstLine="709"/>
        <w:jc w:val="both"/>
        <w:divId w:val="550389225"/>
        <w:rPr>
          <w:rFonts w:eastAsiaTheme="minorHAnsi"/>
          <w:sz w:val="27"/>
          <w:szCs w:val="27"/>
          <w:lang w:eastAsia="en-US"/>
        </w:rPr>
      </w:pPr>
      <w:r w:rsidRPr="00FB7E64">
        <w:rPr>
          <w:rFonts w:eastAsiaTheme="minorHAnsi"/>
          <w:sz w:val="27"/>
          <w:szCs w:val="27"/>
          <w:lang w:eastAsia="en-US"/>
        </w:rPr>
        <w:t>Объекты НМА, ПНМА принимаются к учету на основании данных Протокола Комиссия по поступлению и выбытию нефинансовых активов учреждения (с указанием срока использования НМА, ПНМА их отнесением к активу/не активу).</w:t>
      </w:r>
    </w:p>
    <w:p w14:paraId="2870C849" w14:textId="77777777" w:rsidR="006D572D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bookmarkStart w:id="4" w:name="_Hlk126914049"/>
      <w:r w:rsidRPr="00FB7E64">
        <w:rPr>
          <w:sz w:val="27"/>
          <w:szCs w:val="27"/>
        </w:rPr>
        <w:t>Программное обеспечение, на которое субъекту централизованного учета предоставлено право использования, срок использования которого менее 12 месяцев, а также затраты на научно-исследовательские и опытно-конструкторские работы, не давшие ожидаемых и (или) предусмотренных договором (контрактом) результатов, подлежат отнесению на финансовый результат текущего финансового года.</w:t>
      </w:r>
    </w:p>
    <w:bookmarkEnd w:id="4"/>
    <w:p w14:paraId="09C071C3" w14:textId="77777777" w:rsidR="0060574F" w:rsidRPr="00FB7E64" w:rsidRDefault="00F03958" w:rsidP="00FB7E64">
      <w:pPr>
        <w:spacing w:line="276" w:lineRule="auto"/>
        <w:jc w:val="both"/>
        <w:divId w:val="1123353659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>6</w:t>
      </w:r>
      <w:r w:rsidR="009C3869"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. 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>Применяемые методы начисления амортизации</w:t>
      </w:r>
    </w:p>
    <w:p w14:paraId="36D90621" w14:textId="77777777" w:rsidR="00F03958" w:rsidRPr="00FB7E64" w:rsidRDefault="00694E7A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Н</w:t>
      </w:r>
      <w:r w:rsidR="009C3869" w:rsidRPr="00FB7E64">
        <w:rPr>
          <w:sz w:val="27"/>
          <w:szCs w:val="27"/>
        </w:rPr>
        <w:t>ачисление амортизации по объектам основных средств, нематериальных активов, правам пользования активами производится линейным способом последним рабочим днем текущего месяца.</w:t>
      </w:r>
    </w:p>
    <w:p w14:paraId="3ECCF3FC" w14:textId="77777777" w:rsidR="0060574F" w:rsidRPr="00FB7E64" w:rsidRDefault="008A6EFC" w:rsidP="00FB7E64">
      <w:pPr>
        <w:spacing w:line="276" w:lineRule="auto"/>
        <w:jc w:val="both"/>
        <w:divId w:val="1327516065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>7</w:t>
      </w:r>
      <w:r w:rsidR="009C3869"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. 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>Учет материальных запасов</w:t>
      </w:r>
    </w:p>
    <w:p w14:paraId="57B8D5C6" w14:textId="77777777" w:rsidR="008A6EFC" w:rsidRPr="00FB7E64" w:rsidRDefault="008A6EFC" w:rsidP="00FB7E64">
      <w:pPr>
        <w:spacing w:line="276" w:lineRule="auto"/>
        <w:ind w:firstLine="720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Единица учета материальных запасов в Учреждении – номенклатурная (реестровая) единица. </w:t>
      </w:r>
    </w:p>
    <w:p w14:paraId="68EDF4DA" w14:textId="302E8878" w:rsidR="008E23DA" w:rsidRPr="00FB7E64" w:rsidRDefault="009C3869" w:rsidP="00FB7E64">
      <w:pPr>
        <w:spacing w:line="276" w:lineRule="auto"/>
        <w:ind w:firstLine="720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Выбытие материальных запасов производится по средней фактической стоимости.</w:t>
      </w:r>
      <w:r w:rsidRPr="00FB7E64">
        <w:rPr>
          <w:sz w:val="27"/>
          <w:szCs w:val="27"/>
        </w:rPr>
        <w:br/>
      </w:r>
      <w:r w:rsidR="00FB7E64" w:rsidRPr="00FB7E64">
        <w:rPr>
          <w:sz w:val="27"/>
          <w:szCs w:val="27"/>
        </w:rPr>
        <w:t xml:space="preserve">           </w:t>
      </w:r>
      <w:r w:rsidR="008A6EFC" w:rsidRPr="00FB7E64">
        <w:rPr>
          <w:sz w:val="27"/>
          <w:szCs w:val="27"/>
        </w:rPr>
        <w:t>Товары, переданные в реализацию, отражаются по цене реализации с обособлением торговой наценки.</w:t>
      </w:r>
    </w:p>
    <w:p w14:paraId="0BD74CEE" w14:textId="77777777" w:rsidR="0060574F" w:rsidRPr="00FB7E64" w:rsidRDefault="008A6EFC" w:rsidP="00FB7E64">
      <w:pPr>
        <w:spacing w:line="276" w:lineRule="auto"/>
        <w:ind w:firstLine="720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Правила оформления документов о вручении наградной атрибутики, ценных подарков (сувенирной продукции), иных материальных ценностей, приобретаемых для дарения установлены Единой учетной политикой.</w:t>
      </w:r>
    </w:p>
    <w:p w14:paraId="5DAEF1FE" w14:textId="77777777" w:rsidR="0060574F" w:rsidRPr="00FB7E64" w:rsidRDefault="008E23DA" w:rsidP="00FB7E64">
      <w:pPr>
        <w:spacing w:line="276" w:lineRule="auto"/>
        <w:divId w:val="2134858722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>8</w:t>
      </w:r>
      <w:r w:rsidR="009C3869"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. 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>Учет нефинансовых активов имущества казны</w:t>
      </w:r>
    </w:p>
    <w:p w14:paraId="1B868B92" w14:textId="77777777" w:rsidR="00EE3BDA" w:rsidRPr="00FB7E64" w:rsidRDefault="00EE3BDA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Аналитический учет имущества, составляющего Казну, осуществляет исполнительный орган государственной власти, наделенный полномочиями собственника в отношении государственного имущества Республики Алтай. </w:t>
      </w:r>
    </w:p>
    <w:p w14:paraId="13A521E7" w14:textId="77777777" w:rsidR="00F65FC0" w:rsidRPr="00FB7E64" w:rsidRDefault="00F65FC0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lastRenderedPageBreak/>
        <w:t xml:space="preserve">Объекты нефинансовых активов, составляющих Казну Республики Алтай отражаются в бухгалтерском учете в стоимостном выражении без ведения инвентарного и аналитического учета объектов имущества Казны. </w:t>
      </w:r>
    </w:p>
    <w:p w14:paraId="411267CB" w14:textId="77777777" w:rsidR="00F65FC0" w:rsidRPr="00FB7E64" w:rsidRDefault="00F65FC0" w:rsidP="00FB7E64">
      <w:pPr>
        <w:autoSpaceDE w:val="0"/>
        <w:autoSpaceDN w:val="0"/>
        <w:adjustRightInd w:val="0"/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Выбытие (отпуск) нефинансовых активов имущества Казны, в т.ч. материальных запасов, составляющих Казну, производится по стоимости каждой единицы.</w:t>
      </w:r>
    </w:p>
    <w:p w14:paraId="7A24BE85" w14:textId="77777777" w:rsidR="00F65FC0" w:rsidRPr="00FB7E64" w:rsidRDefault="00EE3BDA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У</w:t>
      </w:r>
      <w:r w:rsidR="00F65FC0" w:rsidRPr="00FB7E64">
        <w:rPr>
          <w:sz w:val="27"/>
          <w:szCs w:val="27"/>
        </w:rPr>
        <w:t xml:space="preserve">чет государственного имущества ведется в соответствии </w:t>
      </w:r>
      <w:r w:rsidR="00F65FC0" w:rsidRPr="00FB7E64">
        <w:rPr>
          <w:rFonts w:eastAsia="Times New Roman"/>
          <w:sz w:val="27"/>
          <w:szCs w:val="27"/>
        </w:rPr>
        <w:t xml:space="preserve">Положением об учете государственного имущества Республики Алтай, утвержденным </w:t>
      </w:r>
      <w:r w:rsidR="00F65FC0" w:rsidRPr="00FB7E64">
        <w:rPr>
          <w:sz w:val="27"/>
          <w:szCs w:val="27"/>
        </w:rPr>
        <w:t xml:space="preserve">высшим исполнительным органом государственной власти Республики Алтай. </w:t>
      </w:r>
    </w:p>
    <w:p w14:paraId="6EADE41B" w14:textId="77777777" w:rsidR="0060574F" w:rsidRPr="00FB7E64" w:rsidRDefault="008E23DA" w:rsidP="00FB7E64">
      <w:pPr>
        <w:spacing w:line="276" w:lineRule="auto"/>
        <w:divId w:val="208735474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>9</w:t>
      </w:r>
      <w:r w:rsidR="009C3869"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. </w:t>
      </w:r>
      <w:r w:rsidR="00416A6B" w:rsidRPr="00FB7E64">
        <w:rPr>
          <w:rStyle w:val="docuntyped-number"/>
          <w:rFonts w:eastAsia="Times New Roman"/>
          <w:b/>
          <w:bCs/>
          <w:sz w:val="27"/>
          <w:szCs w:val="27"/>
        </w:rPr>
        <w:t>У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 xml:space="preserve">чет расчетов по администрируемым доходам </w:t>
      </w:r>
    </w:p>
    <w:p w14:paraId="2014E050" w14:textId="77777777" w:rsidR="00416A6B" w:rsidRPr="00FB7E64" w:rsidRDefault="00416A6B" w:rsidP="00FB7E64">
      <w:pPr>
        <w:spacing w:line="276" w:lineRule="auto"/>
        <w:ind w:firstLine="709"/>
        <w:jc w:val="both"/>
        <w:divId w:val="777064860"/>
        <w:rPr>
          <w:sz w:val="27"/>
          <w:szCs w:val="27"/>
        </w:rPr>
      </w:pPr>
      <w:r w:rsidRPr="00FB7E64">
        <w:rPr>
          <w:sz w:val="27"/>
          <w:szCs w:val="27"/>
        </w:rPr>
        <w:t>Учреждение осуществляет бюджетные полномочия администратора доходов бюджета. Порядок осуществления полномочий администратора доходов бюджета определяется в соответствии с федеральным законодательством, законодательством Республики Алтай и нормативными документами соответствующего ведомства.</w:t>
      </w:r>
    </w:p>
    <w:p w14:paraId="5BEE2451" w14:textId="77777777" w:rsidR="00416A6B" w:rsidRPr="00FB7E64" w:rsidRDefault="00416A6B" w:rsidP="00FB7E64">
      <w:pPr>
        <w:spacing w:line="276" w:lineRule="auto"/>
        <w:ind w:firstLine="709"/>
        <w:jc w:val="both"/>
        <w:divId w:val="777064860"/>
        <w:rPr>
          <w:sz w:val="27"/>
          <w:szCs w:val="27"/>
        </w:rPr>
      </w:pPr>
      <w:r w:rsidRPr="00FB7E64">
        <w:rPr>
          <w:sz w:val="27"/>
          <w:szCs w:val="27"/>
        </w:rPr>
        <w:t xml:space="preserve">Перечень администрируемых доходов утверждается законом о республиканском бюджете Республики Алтай на соответствующие годы. </w:t>
      </w:r>
    </w:p>
    <w:p w14:paraId="59F42DA9" w14:textId="77777777" w:rsidR="00416A6B" w:rsidRPr="00FB7E64" w:rsidRDefault="00416A6B" w:rsidP="00FB7E64">
      <w:pPr>
        <w:pStyle w:val="a6"/>
        <w:spacing w:line="276" w:lineRule="auto"/>
        <w:ind w:left="0" w:firstLine="709"/>
        <w:jc w:val="both"/>
        <w:divId w:val="777064860"/>
        <w:rPr>
          <w:sz w:val="27"/>
          <w:szCs w:val="27"/>
        </w:rPr>
      </w:pPr>
      <w:r w:rsidRPr="00FB7E64">
        <w:rPr>
          <w:sz w:val="27"/>
          <w:szCs w:val="27"/>
        </w:rPr>
        <w:t>Извещение о начислении доходов (уточнении начисления) (ф. 0510432) направляется Учреждением в КУ РА ЦБУ вместе с копией (скан-образом) документа-основания для последующего начисления доходов.</w:t>
      </w:r>
    </w:p>
    <w:p w14:paraId="07889E5D" w14:textId="77777777" w:rsidR="0060574F" w:rsidRPr="00FB7E64" w:rsidRDefault="008E23DA" w:rsidP="00FB7E64">
      <w:pPr>
        <w:spacing w:line="276" w:lineRule="auto"/>
        <w:divId w:val="731463682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>10</w:t>
      </w:r>
      <w:r w:rsidR="009C3869"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. 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>Учет обязательств</w:t>
      </w:r>
    </w:p>
    <w:p w14:paraId="1F3013D4" w14:textId="77777777" w:rsidR="0060574F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Отражение начислений физическим лицам выплат по оплате труда и иных выплат, в том числе осуществляемых на основе договоров (контрактов) с физическими лицами, а также отражение удержаний из сумм начислений осуществляется с использованием Расчетной ведомости (ф.0504402).</w:t>
      </w:r>
    </w:p>
    <w:p w14:paraId="12756EC8" w14:textId="77777777" w:rsidR="008E23DA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Признание в бюджетном учете обязательств по обязательным платежам в бюджеты бюджетной системы Российской Федерации осуществляется:</w:t>
      </w:r>
    </w:p>
    <w:p w14:paraId="3E279C10" w14:textId="77777777" w:rsidR="009D2AAE" w:rsidRPr="00FB7E64" w:rsidRDefault="008B59E5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1) </w:t>
      </w:r>
      <w:r w:rsidR="009C3869" w:rsidRPr="00FB7E64">
        <w:rPr>
          <w:sz w:val="27"/>
          <w:szCs w:val="27"/>
        </w:rPr>
        <w:t>в части налогов, сборов, страховых взносов - на основании налоговых деклараций (расчетов) по состоянию на последний день месяца, за который производится начисление;</w:t>
      </w:r>
    </w:p>
    <w:p w14:paraId="109AEE81" w14:textId="77777777" w:rsidR="008B59E5" w:rsidRPr="00FB7E64" w:rsidRDefault="008B59E5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2) </w:t>
      </w:r>
      <w:r w:rsidR="009C3869" w:rsidRPr="00FB7E64">
        <w:rPr>
          <w:sz w:val="27"/>
          <w:szCs w:val="27"/>
        </w:rPr>
        <w:t>в части государственных пошлин - на основании документов, подтверждающих совершение юридически значимых действий, за которые подлежит уплата государственная пошлина (документов, подтверждающих получение государственной услуги);</w:t>
      </w:r>
    </w:p>
    <w:p w14:paraId="22BC726D" w14:textId="77777777" w:rsidR="0060574F" w:rsidRPr="00FB7E64" w:rsidRDefault="008B59E5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3) </w:t>
      </w:r>
      <w:r w:rsidR="009C3869" w:rsidRPr="00FB7E64">
        <w:rPr>
          <w:sz w:val="27"/>
          <w:szCs w:val="27"/>
        </w:rPr>
        <w:t>в части налога на доходы физических лиц - на основании Расчетной ведомости (ф.0504402) одновременно с признанием обязательств по заработной плате и иным выплатам.</w:t>
      </w:r>
    </w:p>
    <w:p w14:paraId="327E95D7" w14:textId="77777777" w:rsidR="008B59E5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rStyle w:val="docuntyped-name"/>
          <w:rFonts w:eastAsia="Times New Roman"/>
          <w:sz w:val="27"/>
          <w:szCs w:val="27"/>
        </w:rPr>
        <w:lastRenderedPageBreak/>
        <w:t>Порядок формирования отложенных обязательств (резервов предстоящих расходов)</w:t>
      </w:r>
      <w:r w:rsidR="00C62A3C" w:rsidRPr="00FB7E64">
        <w:rPr>
          <w:rStyle w:val="docuntyped-name"/>
          <w:rFonts w:eastAsia="Times New Roman"/>
          <w:sz w:val="27"/>
          <w:szCs w:val="27"/>
        </w:rPr>
        <w:t xml:space="preserve">. </w:t>
      </w:r>
      <w:r w:rsidRPr="00FB7E64">
        <w:rPr>
          <w:sz w:val="27"/>
          <w:szCs w:val="27"/>
        </w:rPr>
        <w:t>В целях равномерного отнесения расходов на финансовый результат учреждения по обязательствам, не определенным по величине и (или) времени исполнения, формируются следующие виды резервов:</w:t>
      </w:r>
    </w:p>
    <w:p w14:paraId="3D473591" w14:textId="77777777" w:rsidR="008B59E5" w:rsidRPr="00FB7E64" w:rsidRDefault="008B59E5" w:rsidP="00FB7E64">
      <w:pPr>
        <w:pStyle w:val="a6"/>
        <w:numPr>
          <w:ilvl w:val="1"/>
          <w:numId w:val="5"/>
        </w:numPr>
        <w:spacing w:line="276" w:lineRule="auto"/>
        <w:ind w:left="0"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страхование;</w:t>
      </w:r>
    </w:p>
    <w:p w14:paraId="6FDEDB0F" w14:textId="77777777" w:rsidR="008B59E5" w:rsidRPr="00FB7E64" w:rsidRDefault="008B59E5" w:rsidP="00FB7E64">
      <w:pPr>
        <w:pStyle w:val="a6"/>
        <w:numPr>
          <w:ilvl w:val="1"/>
          <w:numId w:val="5"/>
        </w:numPr>
        <w:spacing w:line="276" w:lineRule="auto"/>
        <w:ind w:left="0"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резерв для оплаты фактически осуществленных затрат, по которым не поступили документы контрагентов;</w:t>
      </w:r>
    </w:p>
    <w:p w14:paraId="5386B10E" w14:textId="77777777" w:rsidR="008B59E5" w:rsidRPr="00FB7E64" w:rsidRDefault="008B59E5" w:rsidP="00FB7E64">
      <w:pPr>
        <w:pStyle w:val="a6"/>
        <w:numPr>
          <w:ilvl w:val="1"/>
          <w:numId w:val="5"/>
        </w:numPr>
        <w:spacing w:line="276" w:lineRule="auto"/>
        <w:ind w:left="0"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резерв для оплаты возникающих претензий и исков;</w:t>
      </w:r>
    </w:p>
    <w:p w14:paraId="7143416C" w14:textId="77777777" w:rsidR="008B59E5" w:rsidRPr="00FB7E64" w:rsidRDefault="008B59E5" w:rsidP="00FB7E64">
      <w:pPr>
        <w:pStyle w:val="a6"/>
        <w:numPr>
          <w:ilvl w:val="1"/>
          <w:numId w:val="5"/>
        </w:numPr>
        <w:spacing w:line="276" w:lineRule="auto"/>
        <w:ind w:left="0"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иные резервы, по решению Комиссии по поступлению и выбытию Учреждения.</w:t>
      </w:r>
    </w:p>
    <w:p w14:paraId="3C31B62F" w14:textId="77777777" w:rsidR="0060574F" w:rsidRPr="00FB7E64" w:rsidRDefault="00AF5112" w:rsidP="00FB7E64">
      <w:pPr>
        <w:spacing w:line="276" w:lineRule="auto"/>
        <w:ind w:right="9"/>
        <w:jc w:val="both"/>
        <w:divId w:val="1066491480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>1</w:t>
      </w:r>
      <w:r w:rsidR="008E23DA" w:rsidRPr="00FB7E64">
        <w:rPr>
          <w:rStyle w:val="docuntyped-number"/>
          <w:rFonts w:eastAsia="Times New Roman"/>
          <w:b/>
          <w:bCs/>
          <w:sz w:val="27"/>
          <w:szCs w:val="27"/>
        </w:rPr>
        <w:t>1</w:t>
      </w:r>
      <w:r w:rsidR="009C3869"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. 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>Учет счетов санкционирования</w:t>
      </w:r>
    </w:p>
    <w:p w14:paraId="5A26FCEB" w14:textId="77777777" w:rsidR="00C62A3C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Принятие к учету бюджетных и денежных обязательств осуществляется в соответствии с документами, на основании которых возникают бюджетные обязательства получателей средств бюджета и документов, подтверждающих возникновение денежных обязательств получателей средств бюджета.</w:t>
      </w:r>
    </w:p>
    <w:p w14:paraId="24C1A707" w14:textId="77777777" w:rsidR="00C62A3C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Информация в документах для постановки на учет </w:t>
      </w:r>
      <w:r w:rsidR="0031041D" w:rsidRPr="00FB7E64">
        <w:rPr>
          <w:sz w:val="27"/>
          <w:szCs w:val="27"/>
        </w:rPr>
        <w:t>бюджетного (</w:t>
      </w:r>
      <w:r w:rsidRPr="00FB7E64">
        <w:rPr>
          <w:sz w:val="27"/>
          <w:szCs w:val="27"/>
        </w:rPr>
        <w:t>денежного</w:t>
      </w:r>
      <w:r w:rsidR="0031041D" w:rsidRPr="00FB7E64">
        <w:rPr>
          <w:sz w:val="27"/>
          <w:szCs w:val="27"/>
        </w:rPr>
        <w:t>)</w:t>
      </w:r>
      <w:r w:rsidRPr="00FB7E64">
        <w:rPr>
          <w:sz w:val="27"/>
          <w:szCs w:val="27"/>
        </w:rPr>
        <w:t xml:space="preserve"> обязательства (внесения изменений в поставленное на учет </w:t>
      </w:r>
      <w:r w:rsidR="0031041D" w:rsidRPr="00FB7E64">
        <w:rPr>
          <w:sz w:val="27"/>
          <w:szCs w:val="27"/>
        </w:rPr>
        <w:t>бюджетное (</w:t>
      </w:r>
      <w:r w:rsidRPr="00FB7E64">
        <w:rPr>
          <w:sz w:val="27"/>
          <w:szCs w:val="27"/>
        </w:rPr>
        <w:t>денежное</w:t>
      </w:r>
      <w:r w:rsidR="0031041D" w:rsidRPr="00FB7E64">
        <w:rPr>
          <w:sz w:val="27"/>
          <w:szCs w:val="27"/>
        </w:rPr>
        <w:t>)</w:t>
      </w:r>
      <w:r w:rsidRPr="00FB7E64">
        <w:rPr>
          <w:sz w:val="27"/>
          <w:szCs w:val="27"/>
        </w:rPr>
        <w:t xml:space="preserve"> обязательство заполняется в соответствии с требованиями к документам, предусмотренными порядком учета бюджетных и денежных обязательств органами Федерального казначейства, санкционирования оплаты денежных обязательств, установленных </w:t>
      </w:r>
      <w:r w:rsidR="00C62A3C" w:rsidRPr="00FB7E64">
        <w:rPr>
          <w:sz w:val="27"/>
          <w:szCs w:val="27"/>
        </w:rPr>
        <w:t xml:space="preserve">Министерством финансов Республики Алтай. </w:t>
      </w:r>
    </w:p>
    <w:p w14:paraId="34318159" w14:textId="77777777" w:rsidR="0060574F" w:rsidRPr="00FB7E64" w:rsidRDefault="00062A68" w:rsidP="00FB7E64">
      <w:pPr>
        <w:spacing w:line="276" w:lineRule="auto"/>
        <w:jc w:val="both"/>
        <w:divId w:val="16009934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>1</w:t>
      </w:r>
      <w:r w:rsidR="008E23DA" w:rsidRPr="00FB7E64">
        <w:rPr>
          <w:rStyle w:val="docuntyped-number"/>
          <w:rFonts w:eastAsia="Times New Roman"/>
          <w:b/>
          <w:bCs/>
          <w:sz w:val="27"/>
          <w:szCs w:val="27"/>
        </w:rPr>
        <w:t>2</w:t>
      </w:r>
      <w:r w:rsidRPr="00FB7E64">
        <w:rPr>
          <w:rStyle w:val="docuntyped-number"/>
          <w:rFonts w:eastAsia="Times New Roman"/>
          <w:b/>
          <w:bCs/>
          <w:sz w:val="27"/>
          <w:szCs w:val="27"/>
        </w:rPr>
        <w:t>.</w:t>
      </w:r>
      <w:r w:rsidR="009C3869"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 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>Порядок формирования информации, раскрываемой в бухгалтерской (финансовой) отчетности</w:t>
      </w:r>
    </w:p>
    <w:p w14:paraId="6A3C09F2" w14:textId="77777777" w:rsidR="00666869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Бюджетная </w:t>
      </w:r>
      <w:r w:rsidR="0031041D" w:rsidRPr="00FB7E64">
        <w:rPr>
          <w:sz w:val="27"/>
          <w:szCs w:val="27"/>
        </w:rPr>
        <w:t xml:space="preserve">(бухгалтерская) </w:t>
      </w:r>
      <w:r w:rsidRPr="00FB7E64">
        <w:rPr>
          <w:sz w:val="27"/>
          <w:szCs w:val="27"/>
        </w:rPr>
        <w:t xml:space="preserve">отчетность составляется </w:t>
      </w:r>
      <w:r w:rsidR="0031041D" w:rsidRPr="00FB7E64">
        <w:rPr>
          <w:sz w:val="27"/>
          <w:szCs w:val="27"/>
        </w:rPr>
        <w:t xml:space="preserve">централизованной бухгалтерией в рамках полномочий, определенных соглашением о передаче полномочий </w:t>
      </w:r>
      <w:r w:rsidR="00666869" w:rsidRPr="00FB7E64">
        <w:rPr>
          <w:sz w:val="27"/>
          <w:szCs w:val="27"/>
        </w:rPr>
        <w:t xml:space="preserve">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законодательством. </w:t>
      </w:r>
    </w:p>
    <w:p w14:paraId="1C568838" w14:textId="77777777" w:rsidR="0031041D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bookmarkStart w:id="5" w:name="_Hlk126915534"/>
      <w:r w:rsidRPr="00FB7E64">
        <w:rPr>
          <w:sz w:val="27"/>
          <w:szCs w:val="27"/>
        </w:rPr>
        <w:t>Показатели годовой бюджетной отчетности подтверждаются данными инвентаризации имущества и финансовых обязательств</w:t>
      </w:r>
      <w:r w:rsidR="00666869" w:rsidRPr="00FB7E64">
        <w:rPr>
          <w:sz w:val="27"/>
          <w:szCs w:val="27"/>
        </w:rPr>
        <w:t>, проводимой субъектами централизованного учета.</w:t>
      </w:r>
    </w:p>
    <w:bookmarkEnd w:id="5"/>
    <w:p w14:paraId="3EB4971F" w14:textId="77777777" w:rsidR="00666869" w:rsidRPr="00FB7E64" w:rsidRDefault="00666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Бюджетная отчетность формируется и хранится в виде электронного документа в программном комплексе «Свод-Смарт».</w:t>
      </w:r>
    </w:p>
    <w:p w14:paraId="311664BE" w14:textId="77777777" w:rsidR="0060574F" w:rsidRPr="00FB7E64" w:rsidRDefault="00062A68" w:rsidP="00FB7E64">
      <w:pPr>
        <w:spacing w:line="276" w:lineRule="auto"/>
        <w:jc w:val="both"/>
        <w:divId w:val="1382678675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lastRenderedPageBreak/>
        <w:t>1</w:t>
      </w:r>
      <w:r w:rsidR="008E23DA" w:rsidRPr="00FB7E64">
        <w:rPr>
          <w:rStyle w:val="docuntyped-number"/>
          <w:rFonts w:eastAsia="Times New Roman"/>
          <w:b/>
          <w:bCs/>
          <w:sz w:val="27"/>
          <w:szCs w:val="27"/>
        </w:rPr>
        <w:t>3</w:t>
      </w:r>
      <w:r w:rsidR="009C3869"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. </w:t>
      </w:r>
      <w:r w:rsidR="009C3869" w:rsidRPr="00FB7E64">
        <w:rPr>
          <w:rStyle w:val="docuntyped-name"/>
          <w:rFonts w:eastAsia="Times New Roman"/>
          <w:b/>
          <w:bCs/>
          <w:sz w:val="27"/>
          <w:szCs w:val="27"/>
        </w:rPr>
        <w:t>Порядок признания в бухгалтерском учете и раскрытия в бухгалтерской (финансовой) отчетности событий после отчетной даты</w:t>
      </w:r>
    </w:p>
    <w:p w14:paraId="432396C1" w14:textId="77777777" w:rsidR="00281867" w:rsidRPr="00FB7E64" w:rsidRDefault="00281867" w:rsidP="00FB7E6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 Существенность события после отчетной даты определяется, исходя из установленных требований к отчетности.</w:t>
      </w:r>
    </w:p>
    <w:p w14:paraId="475B39C3" w14:textId="77777777" w:rsidR="007055DC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События после отчетной даты, которые подтверждают существовавшие на отчетную дату условия хозяйственной жизни субъекта централизованного учета, отражаются:</w:t>
      </w:r>
    </w:p>
    <w:p w14:paraId="11C3CAE7" w14:textId="77777777" w:rsidR="007055DC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- по счетам бухгалтерского учета - записи формируются на конец отчетного периода;</w:t>
      </w:r>
    </w:p>
    <w:p w14:paraId="1F4BCA53" w14:textId="77777777" w:rsidR="007055DC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- отчетность за отчетный период - формируется с учетом уточненных данных бухгалтерского учета;</w:t>
      </w:r>
    </w:p>
    <w:p w14:paraId="399D93CA" w14:textId="77777777" w:rsidR="00F261D6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- в пояснениях к отчетности.</w:t>
      </w:r>
    </w:p>
    <w:p w14:paraId="6D3B8AB7" w14:textId="1A44FFB8" w:rsidR="0060574F" w:rsidRPr="00FB7E64" w:rsidRDefault="009C3869" w:rsidP="00FB7E64">
      <w:pPr>
        <w:spacing w:line="276" w:lineRule="auto"/>
        <w:ind w:firstLine="708"/>
        <w:jc w:val="both"/>
        <w:divId w:val="550389225"/>
        <w:rPr>
          <w:sz w:val="27"/>
          <w:szCs w:val="27"/>
        </w:rPr>
      </w:pPr>
      <w:bookmarkStart w:id="6" w:name="_Hlk126916431"/>
      <w:r w:rsidRPr="00FB7E64">
        <w:rPr>
          <w:sz w:val="27"/>
          <w:szCs w:val="27"/>
        </w:rPr>
        <w:t>Событие после отчетной даты определяется как существенное в составе событий после отчетной даты, если оно обусловливает изменения стоимости соответствующего объекта б</w:t>
      </w:r>
      <w:r w:rsidR="00D11355" w:rsidRPr="00FB7E64">
        <w:rPr>
          <w:sz w:val="27"/>
          <w:szCs w:val="27"/>
        </w:rPr>
        <w:t xml:space="preserve">ухгалтерского </w:t>
      </w:r>
      <w:r w:rsidRPr="00FB7E64">
        <w:rPr>
          <w:sz w:val="27"/>
          <w:szCs w:val="27"/>
        </w:rPr>
        <w:t>учета на 5 процентов и более от общей стоимости группы активов, обязательств или иных показателей.</w:t>
      </w:r>
    </w:p>
    <w:bookmarkEnd w:id="6"/>
    <w:p w14:paraId="2045829F" w14:textId="77777777" w:rsidR="0060574F" w:rsidRPr="00FB7E64" w:rsidRDefault="009C3869" w:rsidP="00FB7E64">
      <w:pPr>
        <w:spacing w:line="276" w:lineRule="auto"/>
        <w:divId w:val="99304887"/>
        <w:rPr>
          <w:rFonts w:eastAsia="Times New Roman"/>
          <w:b/>
          <w:bCs/>
          <w:sz w:val="27"/>
          <w:szCs w:val="27"/>
        </w:rPr>
      </w:pPr>
      <w:r w:rsidRPr="00FB7E64">
        <w:rPr>
          <w:rStyle w:val="docuntyped-number"/>
          <w:rFonts w:eastAsia="Times New Roman"/>
          <w:b/>
          <w:bCs/>
          <w:sz w:val="27"/>
          <w:szCs w:val="27"/>
        </w:rPr>
        <w:t>1</w:t>
      </w:r>
      <w:r w:rsidR="008E23DA" w:rsidRPr="00FB7E64">
        <w:rPr>
          <w:rStyle w:val="docuntyped-number"/>
          <w:rFonts w:eastAsia="Times New Roman"/>
          <w:b/>
          <w:bCs/>
          <w:sz w:val="27"/>
          <w:szCs w:val="27"/>
        </w:rPr>
        <w:t>4</w:t>
      </w:r>
      <w:r w:rsidRPr="00FB7E64">
        <w:rPr>
          <w:rStyle w:val="docuntyped-number"/>
          <w:rFonts w:eastAsia="Times New Roman"/>
          <w:b/>
          <w:bCs/>
          <w:sz w:val="27"/>
          <w:szCs w:val="27"/>
        </w:rPr>
        <w:t xml:space="preserve">. </w:t>
      </w:r>
      <w:r w:rsidRPr="00FB7E64">
        <w:rPr>
          <w:rStyle w:val="docuntyped-name"/>
          <w:rFonts w:eastAsia="Times New Roman"/>
          <w:b/>
          <w:bCs/>
          <w:sz w:val="27"/>
          <w:szCs w:val="27"/>
        </w:rPr>
        <w:t>Порядок внесения изменений в Особенности ведения централизованного бухгалтерского учета</w:t>
      </w:r>
    </w:p>
    <w:p w14:paraId="25B0D638" w14:textId="77777777" w:rsidR="00062A68" w:rsidRPr="00FB7E64" w:rsidRDefault="00062A68" w:rsidP="00FB7E64">
      <w:pPr>
        <w:spacing w:line="276" w:lineRule="auto"/>
        <w:ind w:firstLine="709"/>
        <w:jc w:val="both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 xml:space="preserve">Внесение изменений в </w:t>
      </w:r>
      <w:r w:rsidR="007152C3" w:rsidRPr="00FB7E64">
        <w:rPr>
          <w:sz w:val="27"/>
          <w:szCs w:val="27"/>
        </w:rPr>
        <w:t>Единую у</w:t>
      </w:r>
      <w:r w:rsidRPr="00FB7E64">
        <w:rPr>
          <w:sz w:val="27"/>
          <w:szCs w:val="27"/>
        </w:rPr>
        <w:t>четную политику осуществляется в случаях:</w:t>
      </w:r>
    </w:p>
    <w:p w14:paraId="0C16EEA0" w14:textId="1B423ECD" w:rsidR="00062A68" w:rsidRPr="00FB7E64" w:rsidRDefault="00062A68" w:rsidP="00FB7E64">
      <w:pPr>
        <w:pStyle w:val="a3"/>
        <w:spacing w:after="0" w:line="276" w:lineRule="auto"/>
        <w:ind w:firstLine="709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а) изменения законодательства Российской Федерации о бухгалтерском учете, бюджетного законодательства Российской Федерации, нормативных правовых актов, регулирующих ведение бухгалтерского</w:t>
      </w:r>
      <w:r w:rsidR="0030282C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учета и составление бухгалтерской (финансовой) отчетности;</w:t>
      </w:r>
    </w:p>
    <w:p w14:paraId="66CD2027" w14:textId="77777777" w:rsidR="00062A68" w:rsidRPr="00FB7E64" w:rsidRDefault="00062A68" w:rsidP="00FB7E64">
      <w:pPr>
        <w:pStyle w:val="a3"/>
        <w:spacing w:after="0" w:line="276" w:lineRule="auto"/>
        <w:ind w:firstLine="709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б) разработки</w:t>
      </w:r>
      <w:r w:rsidR="00ED6391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и выбора</w:t>
      </w:r>
      <w:r w:rsidR="00ED6391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новых правил (способов) ведения бухгалтерского учета, применение которых позволит представить в бухгалтерской (финансовой) отчетности релевантную и достоверную информацию;</w:t>
      </w:r>
    </w:p>
    <w:p w14:paraId="66576290" w14:textId="77777777" w:rsidR="00062A68" w:rsidRPr="00FB7E64" w:rsidRDefault="00062A68" w:rsidP="00FB7E64">
      <w:pPr>
        <w:pStyle w:val="a3"/>
        <w:spacing w:after="0" w:line="276" w:lineRule="auto"/>
        <w:ind w:firstLine="709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в) существенного изменения условий деятельности учреждений – субъектов централизованного учета, включая их реорганизацию, ликвидацию (упразднение), изменение возложенных на них полномочий и (или) выполняемых ими функций;</w:t>
      </w:r>
    </w:p>
    <w:p w14:paraId="416D2BD1" w14:textId="77777777" w:rsidR="00062A68" w:rsidRPr="00FB7E64" w:rsidRDefault="00062A68" w:rsidP="00FB7E64">
      <w:pPr>
        <w:pStyle w:val="a3"/>
        <w:spacing w:after="0" w:line="276" w:lineRule="auto"/>
        <w:ind w:firstLine="709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г) поступления предложений по совершенствованию методов ведения централизованного бухгалтерского учета от Учреждений в целях обеспечения их информацией об активах, обязательствах и финансовом результате, необходимой для исполнения возложенных на них функций;</w:t>
      </w:r>
    </w:p>
    <w:p w14:paraId="1436D449" w14:textId="77777777" w:rsidR="00062A68" w:rsidRPr="00FB7E64" w:rsidRDefault="00062A68" w:rsidP="00FB7E64">
      <w:pPr>
        <w:pStyle w:val="a3"/>
        <w:spacing w:after="0" w:line="276" w:lineRule="auto"/>
        <w:ind w:firstLine="709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lastRenderedPageBreak/>
        <w:t>д) поступления предложений от</w:t>
      </w:r>
      <w:r w:rsidR="007C22AD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учреждений, их учредителей, финансового органа</w:t>
      </w:r>
      <w:r w:rsidR="007C22AD" w:rsidRPr="00FB7E64">
        <w:rPr>
          <w:sz w:val="27"/>
          <w:szCs w:val="27"/>
        </w:rPr>
        <w:t xml:space="preserve"> </w:t>
      </w:r>
      <w:r w:rsidRPr="00FB7E64">
        <w:rPr>
          <w:sz w:val="27"/>
          <w:szCs w:val="27"/>
        </w:rPr>
        <w:t>в целях совершенствования методов ведения централизованного бухгалтерского учета.</w:t>
      </w:r>
    </w:p>
    <w:p w14:paraId="167AA274" w14:textId="77777777" w:rsidR="00062A68" w:rsidRPr="00FB7E64" w:rsidRDefault="00062A68" w:rsidP="00FB7E64">
      <w:pPr>
        <w:pStyle w:val="a3"/>
        <w:spacing w:after="0" w:line="276" w:lineRule="auto"/>
        <w:ind w:firstLine="709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Изменения ведения централизованного бухгалтерского учета применяются с начала отчетного года, если иное не обусловливается причиной такого изменения.</w:t>
      </w:r>
    </w:p>
    <w:p w14:paraId="79B6FCE0" w14:textId="77777777" w:rsidR="00F45594" w:rsidRPr="00FB7E64" w:rsidRDefault="00F45594" w:rsidP="00FB7E64">
      <w:pPr>
        <w:pStyle w:val="a3"/>
        <w:spacing w:after="0" w:line="276" w:lineRule="auto"/>
        <w:ind w:firstLine="709"/>
        <w:divId w:val="550389225"/>
        <w:rPr>
          <w:sz w:val="27"/>
          <w:szCs w:val="27"/>
        </w:rPr>
      </w:pPr>
    </w:p>
    <w:p w14:paraId="7C101B2D" w14:textId="77777777" w:rsidR="00F45594" w:rsidRPr="00FB7E64" w:rsidRDefault="00F45594" w:rsidP="00FB7E64">
      <w:pPr>
        <w:pStyle w:val="a3"/>
        <w:spacing w:after="0" w:line="276" w:lineRule="auto"/>
        <w:ind w:firstLine="709"/>
        <w:jc w:val="center"/>
        <w:divId w:val="550389225"/>
        <w:rPr>
          <w:sz w:val="27"/>
          <w:szCs w:val="27"/>
        </w:rPr>
      </w:pPr>
      <w:r w:rsidRPr="00FB7E64">
        <w:rPr>
          <w:sz w:val="27"/>
          <w:szCs w:val="27"/>
        </w:rPr>
        <w:t>_____________________</w:t>
      </w:r>
    </w:p>
    <w:sectPr w:rsidR="00F45594" w:rsidRPr="00FB7E64" w:rsidSect="00FB7E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1281A" w14:textId="77777777" w:rsidR="006A5B53" w:rsidRDefault="006A5B53" w:rsidP="006A5B53">
      <w:r>
        <w:separator/>
      </w:r>
    </w:p>
  </w:endnote>
  <w:endnote w:type="continuationSeparator" w:id="0">
    <w:p w14:paraId="45D4A2EB" w14:textId="77777777" w:rsidR="006A5B53" w:rsidRDefault="006A5B53" w:rsidP="006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05F6" w14:textId="77777777" w:rsidR="008B6120" w:rsidRDefault="008B6120">
    <w:pPr>
      <w:pBdr>
        <w:left w:val="single" w:sz="12" w:space="11" w:color="4472C4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14:paraId="533B8A4E" w14:textId="77777777" w:rsidR="008B6120" w:rsidRDefault="008B61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CFEA" w14:textId="77777777" w:rsidR="006A5B53" w:rsidRDefault="006A5B53" w:rsidP="006A5B53">
      <w:r>
        <w:separator/>
      </w:r>
    </w:p>
  </w:footnote>
  <w:footnote w:type="continuationSeparator" w:id="0">
    <w:p w14:paraId="06C4A76A" w14:textId="77777777" w:rsidR="006A5B53" w:rsidRDefault="006A5B53" w:rsidP="006A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5F8F8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227"/>
      </w:pPr>
      <w:rPr>
        <w:rFonts w:ascii="Times New Roman" w:eastAsiaTheme="minorHAnsi" w:hAnsi="Times New Roman" w:cs="Times New Roman"/>
      </w:rPr>
    </w:lvl>
  </w:abstractNum>
  <w:abstractNum w:abstractNumId="1" w15:restartNumberingAfterBreak="0">
    <w:nsid w:val="3C8F768B"/>
    <w:multiLevelType w:val="multilevel"/>
    <w:tmpl w:val="E4D8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E5D8D"/>
    <w:multiLevelType w:val="hybridMultilevel"/>
    <w:tmpl w:val="E2CE8354"/>
    <w:lvl w:ilvl="0" w:tplc="6EB82B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54599D"/>
    <w:multiLevelType w:val="hybridMultilevel"/>
    <w:tmpl w:val="22C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802A2"/>
    <w:multiLevelType w:val="multilevel"/>
    <w:tmpl w:val="22D6F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51A6537"/>
    <w:multiLevelType w:val="hybridMultilevel"/>
    <w:tmpl w:val="92D22498"/>
    <w:lvl w:ilvl="0" w:tplc="2A72D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D3775"/>
    <w:multiLevelType w:val="hybridMultilevel"/>
    <w:tmpl w:val="8878D8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65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E6"/>
    <w:rsid w:val="00021F57"/>
    <w:rsid w:val="00047EE3"/>
    <w:rsid w:val="00050ACD"/>
    <w:rsid w:val="00062A68"/>
    <w:rsid w:val="000714E2"/>
    <w:rsid w:val="00096D5F"/>
    <w:rsid w:val="000C21A6"/>
    <w:rsid w:val="000C2B4C"/>
    <w:rsid w:val="000D18E6"/>
    <w:rsid w:val="000F6CC3"/>
    <w:rsid w:val="00105478"/>
    <w:rsid w:val="001578F9"/>
    <w:rsid w:val="00161068"/>
    <w:rsid w:val="001E7FA4"/>
    <w:rsid w:val="001F3BDF"/>
    <w:rsid w:val="0020200A"/>
    <w:rsid w:val="00237807"/>
    <w:rsid w:val="002431F9"/>
    <w:rsid w:val="00266D33"/>
    <w:rsid w:val="00281867"/>
    <w:rsid w:val="002837F7"/>
    <w:rsid w:val="0030282C"/>
    <w:rsid w:val="0031041D"/>
    <w:rsid w:val="0034391A"/>
    <w:rsid w:val="003E280B"/>
    <w:rsid w:val="004143C9"/>
    <w:rsid w:val="00416A6B"/>
    <w:rsid w:val="0044339F"/>
    <w:rsid w:val="004A3E72"/>
    <w:rsid w:val="004B2F29"/>
    <w:rsid w:val="004F03DB"/>
    <w:rsid w:val="00584C28"/>
    <w:rsid w:val="0060574F"/>
    <w:rsid w:val="00633A3B"/>
    <w:rsid w:val="00645A6B"/>
    <w:rsid w:val="00666869"/>
    <w:rsid w:val="00677607"/>
    <w:rsid w:val="0068760E"/>
    <w:rsid w:val="00687DDC"/>
    <w:rsid w:val="00694E7A"/>
    <w:rsid w:val="006A5B53"/>
    <w:rsid w:val="006D572D"/>
    <w:rsid w:val="006F5A43"/>
    <w:rsid w:val="006F5C04"/>
    <w:rsid w:val="007055DC"/>
    <w:rsid w:val="007152C3"/>
    <w:rsid w:val="007B5E43"/>
    <w:rsid w:val="007C22AD"/>
    <w:rsid w:val="00800F59"/>
    <w:rsid w:val="0084715D"/>
    <w:rsid w:val="00873359"/>
    <w:rsid w:val="008A6EFC"/>
    <w:rsid w:val="008B12CB"/>
    <w:rsid w:val="008B59E5"/>
    <w:rsid w:val="008B6120"/>
    <w:rsid w:val="008C0068"/>
    <w:rsid w:val="008D43AF"/>
    <w:rsid w:val="008E23DA"/>
    <w:rsid w:val="008F63B5"/>
    <w:rsid w:val="00944543"/>
    <w:rsid w:val="00945516"/>
    <w:rsid w:val="009544D6"/>
    <w:rsid w:val="00955BED"/>
    <w:rsid w:val="00962A48"/>
    <w:rsid w:val="009C3869"/>
    <w:rsid w:val="009D2AAE"/>
    <w:rsid w:val="00A0059F"/>
    <w:rsid w:val="00A02F53"/>
    <w:rsid w:val="00A12EA3"/>
    <w:rsid w:val="00A67BD6"/>
    <w:rsid w:val="00AE5485"/>
    <w:rsid w:val="00AF5112"/>
    <w:rsid w:val="00B0748B"/>
    <w:rsid w:val="00B1790A"/>
    <w:rsid w:val="00B210DD"/>
    <w:rsid w:val="00B27191"/>
    <w:rsid w:val="00B8380A"/>
    <w:rsid w:val="00B85DFD"/>
    <w:rsid w:val="00BB5A44"/>
    <w:rsid w:val="00BF65AF"/>
    <w:rsid w:val="00C13ED9"/>
    <w:rsid w:val="00C62A3C"/>
    <w:rsid w:val="00C81C43"/>
    <w:rsid w:val="00CB0BE2"/>
    <w:rsid w:val="00CD09B5"/>
    <w:rsid w:val="00D11355"/>
    <w:rsid w:val="00D20C94"/>
    <w:rsid w:val="00D27281"/>
    <w:rsid w:val="00D40559"/>
    <w:rsid w:val="00D50584"/>
    <w:rsid w:val="00E93728"/>
    <w:rsid w:val="00ED6391"/>
    <w:rsid w:val="00EE0B73"/>
    <w:rsid w:val="00EE3BDA"/>
    <w:rsid w:val="00EE4400"/>
    <w:rsid w:val="00F03958"/>
    <w:rsid w:val="00F261D6"/>
    <w:rsid w:val="00F37C27"/>
    <w:rsid w:val="00F45594"/>
    <w:rsid w:val="00F65FC0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54B74"/>
  <w15:chartTrackingRefBased/>
  <w15:docId w15:val="{487275A2-2542-43FB-BF5C-BB12AD8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copyright-info">
    <w:name w:val="copyright-info"/>
    <w:basedOn w:val="a"/>
    <w:rsid w:val="00A02F53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C13ED9"/>
    <w:pPr>
      <w:ind w:left="720"/>
      <w:contextualSpacing/>
    </w:pPr>
  </w:style>
  <w:style w:type="paragraph" w:customStyle="1" w:styleId="ConsPlusNormal">
    <w:name w:val="ConsPlusNormal"/>
    <w:rsid w:val="00584C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6A5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B53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5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B5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60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2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47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8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9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6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9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1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3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0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6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91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4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3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9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6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60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19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7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5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54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8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6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50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39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4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86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8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414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9</Pages>
  <Words>1983</Words>
  <Characters>14824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Tabakaeva</dc:creator>
  <cp:keywords/>
  <dc:description/>
  <cp:lastModifiedBy>Tabakaeva</cp:lastModifiedBy>
  <cp:revision>77</cp:revision>
  <cp:lastPrinted>2024-01-22T04:46:00Z</cp:lastPrinted>
  <dcterms:created xsi:type="dcterms:W3CDTF">2022-11-29T04:40:00Z</dcterms:created>
  <dcterms:modified xsi:type="dcterms:W3CDTF">2024-01-22T04:46:00Z</dcterms:modified>
</cp:coreProperties>
</file>