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02" w:rsidRPr="009E4102" w:rsidRDefault="009E4102">
      <w:pPr>
        <w:pStyle w:val="ConsPlusTitlePage"/>
        <w:rPr>
          <w:rFonts w:ascii="Times New Roman" w:hAnsi="Times New Roman" w:cs="Times New Roman"/>
        </w:rPr>
      </w:pPr>
      <w:r w:rsidRPr="009E4102">
        <w:rPr>
          <w:rFonts w:ascii="Times New Roman" w:hAnsi="Times New Roman" w:cs="Times New Roman"/>
        </w:rPr>
        <w:br/>
      </w:r>
    </w:p>
    <w:p w:rsidR="009E4102" w:rsidRPr="009E4102" w:rsidRDefault="009E4102">
      <w:pPr>
        <w:pStyle w:val="ConsPlusNormal"/>
        <w:jc w:val="both"/>
        <w:outlineLvl w:val="0"/>
        <w:rPr>
          <w:rFonts w:ascii="Times New Roman" w:hAnsi="Times New Roman" w:cs="Times New Roman"/>
        </w:rPr>
      </w:pPr>
    </w:p>
    <w:p w:rsidR="009E4102" w:rsidRPr="009E4102" w:rsidRDefault="009E4102">
      <w:pPr>
        <w:pStyle w:val="ConsPlusTitle"/>
        <w:jc w:val="center"/>
        <w:outlineLvl w:val="0"/>
        <w:rPr>
          <w:rFonts w:ascii="Times New Roman" w:hAnsi="Times New Roman" w:cs="Times New Roman"/>
        </w:rPr>
      </w:pPr>
      <w:r w:rsidRPr="009E4102">
        <w:rPr>
          <w:rFonts w:ascii="Times New Roman" w:hAnsi="Times New Roman" w:cs="Times New Roman"/>
        </w:rPr>
        <w:t>ПРАВИТЕЛЬСТВО РОССИЙСКОЙ ФЕДЕРАЦИИ</w:t>
      </w:r>
    </w:p>
    <w:p w:rsidR="009E4102" w:rsidRPr="009E4102" w:rsidRDefault="009E4102">
      <w:pPr>
        <w:pStyle w:val="ConsPlusTitle"/>
        <w:jc w:val="center"/>
        <w:rPr>
          <w:rFonts w:ascii="Times New Roman" w:hAnsi="Times New Roman" w:cs="Times New Roman"/>
        </w:rPr>
      </w:pP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РАСПОРЯЖЕНИЕ</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от 31 января 2019 г. N 117-р</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 xml:space="preserve">1. Утвердить прилагаемую </w:t>
      </w:r>
      <w:hyperlink w:anchor="P23" w:history="1">
        <w:r w:rsidRPr="009E4102">
          <w:rPr>
            <w:rFonts w:ascii="Times New Roman" w:hAnsi="Times New Roman" w:cs="Times New Roman"/>
            <w:color w:val="0000FF"/>
          </w:rPr>
          <w:t>Концепцию</w:t>
        </w:r>
      </w:hyperlink>
      <w:r w:rsidRPr="009E4102">
        <w:rPr>
          <w:rFonts w:ascii="Times New Roman" w:hAnsi="Times New Roman" w:cs="Times New Roman"/>
        </w:rPr>
        <w:t xml:space="preserve"> повышения эффективности бюджетных расходов в 2019 - 2024 годах.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2. Минфину России и другим федеральным органам исполнительной власти руководствоваться положениями </w:t>
      </w:r>
      <w:hyperlink w:anchor="P23" w:history="1">
        <w:r w:rsidRPr="009E4102">
          <w:rPr>
            <w:rFonts w:ascii="Times New Roman" w:hAnsi="Times New Roman" w:cs="Times New Roman"/>
            <w:color w:val="0000FF"/>
          </w:rPr>
          <w:t>Концепции</w:t>
        </w:r>
      </w:hyperlink>
      <w:r w:rsidRPr="009E4102">
        <w:rPr>
          <w:rFonts w:ascii="Times New Roman" w:hAnsi="Times New Roman" w:cs="Times New Roman"/>
        </w:rPr>
        <w:t>, утвержденной настоящим распоряжением, при составлении и организации исполнения федерального бюджета, а также при формировании и реализации государственных программ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3" w:history="1">
        <w:r w:rsidRPr="009E4102">
          <w:rPr>
            <w:rFonts w:ascii="Times New Roman" w:hAnsi="Times New Roman" w:cs="Times New Roman"/>
            <w:color w:val="0000FF"/>
          </w:rPr>
          <w:t>Концепции</w:t>
        </w:r>
      </w:hyperlink>
      <w:r w:rsidRPr="009E4102">
        <w:rPr>
          <w:rFonts w:ascii="Times New Roman" w:hAnsi="Times New Roman" w:cs="Times New Roman"/>
        </w:rPr>
        <w:t>, утвержденной настоящим распоряжением, при формировании документов, определяющих направления повышения эффективности бюджетных расходов.</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Председатель Правительства</w:t>
      </w: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Российской Федерации</w:t>
      </w: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Д.МЕДВЕДЕВ</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jc w:val="right"/>
        <w:outlineLvl w:val="0"/>
        <w:rPr>
          <w:rFonts w:ascii="Times New Roman" w:hAnsi="Times New Roman" w:cs="Times New Roman"/>
        </w:rPr>
      </w:pPr>
      <w:r w:rsidRPr="009E4102">
        <w:rPr>
          <w:rFonts w:ascii="Times New Roman" w:hAnsi="Times New Roman" w:cs="Times New Roman"/>
        </w:rPr>
        <w:t>Утверждена</w:t>
      </w: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распоряжением Правительства</w:t>
      </w: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Российской Федерации</w:t>
      </w:r>
    </w:p>
    <w:p w:rsidR="009E4102" w:rsidRPr="009E4102" w:rsidRDefault="009E4102">
      <w:pPr>
        <w:pStyle w:val="ConsPlusNormal"/>
        <w:jc w:val="right"/>
        <w:rPr>
          <w:rFonts w:ascii="Times New Roman" w:hAnsi="Times New Roman" w:cs="Times New Roman"/>
        </w:rPr>
      </w:pPr>
      <w:r w:rsidRPr="009E4102">
        <w:rPr>
          <w:rFonts w:ascii="Times New Roman" w:hAnsi="Times New Roman" w:cs="Times New Roman"/>
        </w:rPr>
        <w:t>от 31 января 2019 г. N 117-р</w:t>
      </w:r>
    </w:p>
    <w:p w:rsidR="009E4102" w:rsidRPr="009E4102" w:rsidRDefault="009E4102">
      <w:pPr>
        <w:pStyle w:val="ConsPlusNormal"/>
        <w:jc w:val="right"/>
        <w:rPr>
          <w:rFonts w:ascii="Times New Roman" w:hAnsi="Times New Roman" w:cs="Times New Roman"/>
        </w:rPr>
      </w:pPr>
    </w:p>
    <w:p w:rsidR="009E4102" w:rsidRPr="009E4102" w:rsidRDefault="009E4102">
      <w:pPr>
        <w:pStyle w:val="ConsPlusTitle"/>
        <w:jc w:val="center"/>
        <w:rPr>
          <w:rFonts w:ascii="Times New Roman" w:hAnsi="Times New Roman" w:cs="Times New Roman"/>
        </w:rPr>
      </w:pPr>
      <w:bookmarkStart w:id="0" w:name="P23"/>
      <w:bookmarkEnd w:id="0"/>
      <w:r w:rsidRPr="009E4102">
        <w:rPr>
          <w:rFonts w:ascii="Times New Roman" w:hAnsi="Times New Roman" w:cs="Times New Roman"/>
        </w:rPr>
        <w:t>КОНЦЕПЦИЯ</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ПОВЫШЕНИЯ ЭФФЕКТИВНОСТИ БЮДЖЕТНЫХ РАСХОДОВ</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В 2019 - 2024 ГОДАХ</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I. Введение</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Начиная с 2010 года в Российской Федерации осуществляется масштабная реформа системы управления общественными финансами, ключевыми направлениями которой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внедрение механизмов обеспечения долгосрочной устойчивости бюджетной системы, включая "бюджетное правило" и основы долгосрочного бюджетного планирования;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бюджетной политики на основании и во взаимосвязи с показателями государственных программ Российской Федерации (далее - государственные программы);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системы финансового обеспечения оказания государственных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финансовых взаимоотношений с субъектами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систем внутреннего финансового контроля и аудита, а также внутреннего государственного (муниципального) финансового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конкурентной и прозрачной системы закупок для обеспечения государственных (муниципальных) нужд;</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формирование единого информационного контура системы управления общественными финансами;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открытости и прозрачности бюджетного процесса.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Благодаря реализованным за последние годы мерам обеспечены условия для устойчивого экономического развития и сохранения макроэкономической стабильности при безусловном исполнении принятых расходных обязательств и реализации ключевых приоритетов социально-экономического развития страны.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этом создана надежная основа для следующего шага в рамках проводимой работы по повышению эффективности бюджетных расходов, который, как и все предыдущие, будет реализован в том числе с использованием передового международного опыта.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Наряду с указанными и уже реализуемыми в Российской Федерации направлениями, нуждающимися в дальнейшем совершенствовании, отличительными особенностями лучшей зарубежной практики управления общественными финансами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внедрение и постоянное проведение обзоров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участие граждан в бюджетном процессе;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системы долгосрочного (стратегического) планирования бюджетных инвестиций;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полноты и качества финансовой отчетности государственного сектора;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цифровизация системы государственного управления и бюджетного процесса.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системы мер по повышению эффективности деятельности органов государственной власти и органов местного самоуправления, а также по модернизации системы управления общественными финансами.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Содержанию конкретных мер посвящены соответствующие разделы настоящей Концепции. Реализация предлагаемых мер создаст организационные и правовые предпосылки для повышения эффективности бюджетных расходов.</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II. Долгосрочная сбалансированность и устойчивость бюджетов</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бюджетной системы Российской Федерации</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В целях обеспечения долгосрочной сбалансированности и устойчивости бюджетов бюджетной системы Российской Федерации за последние годы реализован ряд мер, в том числе: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законодательно закреплена новая конструкция "бюджетных правил", направленная на обеспечение большей стабильности и предсказуемости экономических и финансовых условий, снижение их зависимости от внешних факторов, формирование основы для повышения инвестиционной активности и увеличения потенциальных темпов роста валового внутреннего продукта;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сформирована необходимая нормативная база для осуществления долгосрочного бюджетного планирования в форме бюджетных прогнозов соответствующих публично-правовых </w:t>
      </w:r>
      <w:r w:rsidRPr="009E4102">
        <w:rPr>
          <w:rFonts w:ascii="Times New Roman" w:hAnsi="Times New Roman" w:cs="Times New Roman"/>
        </w:rPr>
        <w:lastRenderedPageBreak/>
        <w:t>образований на долгосрочный период (далее - бюджетный прогноз), определяющих основные приоритеты бюджетной политики и содержащих показатели финансового обеспечения государственных (муниципальных) программ на период их реализации.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завершением адаптационного периода на первый план повестки государственной экономической политики выходит цель по обеспечению сбалансированного развития страны и расширению потенциала отечественной экономики в непростых условиях повышенной подвижности внешней и внутренней конъюнктуры.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долгосрочной сбалансированности и устойчивости бюджетов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обеспечения устойчивого инклюзивного экономического роста, реализации стратегических задач, роста благосостояния населения.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Соблюдение баланса между обеспечением долговой устойчивости, долгосрочной сбалансированности бюджетной системы, с одной стороны, и устойчивым социально-экономическим развитием, с другой стороны, требует, чтобы формирование основных бюджетных характеристик и в целом бюджетной политики происходило исключительно на основе новой конструкции "бюджетных правил". Строгое соблюдение количественных ограничений на бюджетные параметры является важнейшим средством снижения связанных с бюджетной политикой рисков для макроэкономической и финансовой стабильности.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дальнейшей работы по обеспечению долгосрочной сбалансированности и устойчивости бюджетов бюджетной системы Российской Федерации предусматриваются следующие меры: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во-первых, распространение практики применения "бюджетных правил" на субъекты Российской Федерации, доходная составляющая бюджета которых зависит от конъюнктурных доходов, что позволит таким регионам нивелировать влияние флуктуации цен на мировых рынках (как краткосрочных, так и долгосрочных сырьевых суперциклов) на их внутренние макроэкономические условия;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во-вторых, внедрение усовершенствованной системы оценки долговой устойчивости субъектов Российской Федерации и муниципальных образований с предъявлением к ним требований различной степени жесткости в зависимости от отнесения к конкретной группе риска.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Система ранжирования регионов по группам риска позволит заранее отслеживать наметившееся ухудшение долговой ситуации регионов, своевременно переводить их в группу заемщиков с более низкой долговой устойчивостью и применять к ним соответствующие данной группе следующие ограничения и требования: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согласование с Министерством финансов Российской Федерации программы заимствований и гарантий;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представление в Министерство финансов Российской Федерации основных направлений долговой политики;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осуществление рыночных заимствований только для рефинансирования существующего долга (для регионов с низким уровнем долговой устойчивости);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утверждение и реализация плана восстановления платежеспособности (для регионов с низким уровнем долговой устойчивости).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Данные меры будут направлены на оказание поддержки регионам в своевременном решении долговых проблем, не дожидаясь достижения критической отметки;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в-третьих, развитие нормативного и методического регулирования вопросов содержания бюджетного прогноза и процедур его разработки, а также активизация практической работы по его формированию на всех уровнях бюджетной системы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текущих условиях актуальность долгосрочных ориентиров государственной экономической политики, включая вариативность ее проведения в зависимости от реализации тех или иных сценариев внешних и внутренних условий, приобретает особое значение для экономических агентов, помогая им сформировать собственные средне- и долгосрочные стратегии поведения.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Ключевой целью разработки бюджетного прогноза должна быть оценка на вариативной основе наиболее вероятных тенденций состояния бюджетов бюджетной системы Российской Федерации, позволяющая путем выработки и реализации соответствующих решений в сфере налоговой, бюджетной и долговой политики обеспечить стабильные макроэкономические условия и достижение стратегических целей социально-экономического развития страны.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Бюджетный прогноз должен стать действенным инструментом проведения более эффективной бюджетной политики, направленным на решение следующих задач:</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предсказуемости параметров бюджетной системы, макроэкономических и иных показателей, в том числе базовых принципов и условий реализации налоговой, бюджетной и долговой политики;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профилактика бюджетных рисков для бюджетов бюджетной системы Российской Федерации, в том числе посредством заблаговременного обнаружения и принятия мер по минимизации негативных последствий реализации соответствующих рисков;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оценка потенциальных объемов долгосрочных параметров финансового (бюджетного) обеспечения отдельных направлений социально-экономической политики, включая финансовые показатели государственных (муниципальных)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этом неотъемлемым условием практической работы по подготовке проекта бюджетного прогноза и его утверждению является наличие прогноза социально-экономического развития Российской Федерации на долгосрочный период, определяющего ключевые для оценки бюджетных параметров показатели.</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III. Обзоры бюджетных расходов как основа повышения</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их эффективности</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В качестве одного из инструментов, направленных на повышение эффективности бюджетных расходов и обеспечивающих их приоритизацию в соответствии с целями социально-экономической политики, планируется внедрение в систему управления государственными финансами обзоров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Под обзорами бюджетных расходов понимается систематический анализ базовых (постоянных) расходов бюджета, направленный на определение и сравнение различных вариантов экономии бюджетных средств, выбор и практическую реализацию наиболее приемлемого из них.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Целью проведения обзоров бюджетных расходов является не оптимизация бюджетных расходов сама по себе, а высвобождение недостаточно эффективно используемых ресурсов для их перенаправления на решение приоритетных задач.</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Существенно и то, что обзоры бюджетных расходов не заканчиваются разработкой предложений в части мер экономии, а подразумевают обязательную имплементацию этих предложений (или их части) при формировании федерального бюджета и бюджетов </w:t>
      </w:r>
      <w:r w:rsidRPr="009E4102">
        <w:rPr>
          <w:rFonts w:ascii="Times New Roman" w:hAnsi="Times New Roman" w:cs="Times New Roman"/>
        </w:rPr>
        <w:lastRenderedPageBreak/>
        <w:t>государственных внебюджетных фондов Российской Федерации на очередной финансовый год и плановый период (по возможности также при внесении изменений в указанные бюджеты).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Обзоры бюджетных расходов, ставшие за последние годы неотъемлемой частью бюджетного процесса в большинстве стран Организации экономического сотрудничества и развития, позволяют: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поддерживать оптимальные объем и структуру расходов на реализацию функций и обязательств постоянного характера с учетом актуальных социальных, рыночных, технологических и иных реалий;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стимулировать администраторов бюджетных средств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отойти от традиционного планирования объемов бюджетных ассигнований без постоянной оценки целесообразности и актуальности соответствующих мероприятий, механизмов их реализации и финансового обеспечения, результатов и наличия альтернативных инструментов по достижению целей государственной политики;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минимизировать практику линейного сокращения бюджетных расходов в случае ухудшения сбалансированности бюджета;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долгосрочной перспективе - поддерживать структуру бюджетных расходов в состоянии наиболее близком к оптимальному с точки зрения финансовой и социально-экономической целесообразности.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Проведение обзоров бюджетных расходов в Российской Федерации предлагается осуществлять в соответствии со следующими подходами и принципами: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охват всех бюджетных расходов обзорами бюджетных расходов в течение каждых 6 лет;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наделение Правительственной комиссии по вопросам оптимизации и повышения эффективности бюджетных расходов полномочиями по организации проведения обзоров бюджетных расходов в соответствии с регламентом проведения указанных обзоров;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рассмотрение указанной Комиссией предложений об оптимизации расходов федерального бюджета и бюджетов государственных внебюджетных фондов на основе проведенных обзоров бюджетных расходов по выбранным конкретным сферам (направлениям) бюджетных ассигнований федерального бюджета (бюджетов государственных внебюджетных фондов Российской Федерации) для проведения обзоров бюджетных расходов в конкретном финансовом году. Такими сферами (направлениями) могут быть бюджетные ассигнования, предусмотренные отдельным главным распорядителям бюджетных средств, бюджетные ассигнования на государственные программы (отрасли) либо "сквозные" направления (например, бюджетные ассигнования на отдельные направления либо виды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определение целевых значений оптимизации по результатам проведения обзора бюджетных расходов по каждой из выбранных сфер (в процентах от общего объема бюджетных ассигнований в соответствующей сфере);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при необходимости в выбранных сферах (направлениях) областей, не подлежащих оптимизации;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формирование для непосредственного проведения обзоров бюджетных расходов по каждой из выбранных сфер (направлений) рабочих групп, возглавляемых заместителем Министра финансов Российской Федерации и включающих представителей Министерства экономического </w:t>
      </w:r>
      <w:r w:rsidRPr="009E4102">
        <w:rPr>
          <w:rFonts w:ascii="Times New Roman" w:hAnsi="Times New Roman" w:cs="Times New Roman"/>
        </w:rPr>
        <w:lastRenderedPageBreak/>
        <w:t>развития Российской Федерации, иных заинтересованных федеральных органов государственной власти, организаций и экспертного сообщества;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наделение Министерства финансов Российской Федерации функциями по организационному и методическому сопровождению, а также по координации проведения обзоров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участие в проведении обзоров бюджетных расходов федеральных органов исполнительной власти (иных государственных органов, организаций), администрирующих бюджетные ассигнования, выбранные в качестве объектов обзоров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приемлемость результатов обзоров бюджетных расходов. Они не должны противоречить целям государственной политики или приводить к ухудшению ожидаемых результатов социально-экономического развития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возможность распространения результатов обзора по конкретному объекту обзора на иные аналогичные бюджетные расходы по решению Правительственной комиссии по вопросам оптимизации и повышения эффективности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включение решений, принятых по результатам проведения обзоров бюджетных расходов, в методику расчета базовых бюджетных ассигнований федерального бюджета по государственным программам и непрограммным направлениям деятельности на очередной финансовый год и плановый период;</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корректировка при необходимости нормативных правовых (правовых) актов, обусловливающих объемы и структуру бюджетных расходов в рамках выбранных сфер (направлений), по результатам проведения обзоров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обязательность опубликования (за исключением сведений ограниченного распространения в соответствии с законодательством Российской Федерации) результатов обзоров бюджетных расходов в виде отчета на едином портале бюджетной системы Российской Федерации (www.budget.gov.ru) в информационно-телекоммуникационной сети "Интернет".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обеспечения полноценного внедрения института обзоров бюджетных расходов необходимы утверждение регламента проведения обзоров бюджетных расходов и принятие нормативных правовых актов, предусматривающих учет результатов обзоров бюджетных расходов при составлении проекта федерального бюджета (бюджетов государственных внебюджетных фондов Российской Федерации) на очередной финансовый год и плановый период.</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IV. Совершенствование системы государственных программ</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и внедрение принципов проектного управления</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Фокус на показателях результативности использования бюджетных средств, а также наличие информации о таких показателях в бюджетном процессе является обязательным атрибутом любой современной системы управления государственными финансами, наиболее распространенным вариантом реализации которого является программное бюджетирование.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этой связи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 на основе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 настоящему времени сформирована и совершенствуется нормативно-правовая и методическая база по вопросам формирования и реализации государственных программ, а структура расходов федерального бюджета соответствует структуре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Вместе с тем ряд следующих нерешенных проблем пока не позволяет считать государственные программы полноценным инструментом организации проектной деятельности федеральных органов исполнительной власти, а также инструментом повышения эффективности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государственные программы в большинстве случаев рассматриваются разработчиками исключительно как инструмент бюджетного планирования, в результате чего за пределами государственных программ остаются вопросы координации деятельности в соответствующих сферах государственных компаний и иных юридических лиц, субъектов Российской Федерации и муниципальных образований, равно как и меры, не предполагающие прямых расходов бюджета (налоговое стимулирование, нормативное и методическое регулирование, уточнение правил и процедур осуществления контрольно-надзорных мероприятий и т.п.);</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система целей, показателей (индикаторов) и ожидаемых результатов государственных программ в ряде случаев не отражает актуальных стратегических приоритетов социально-экономического развития и не дает возможности реальной оценки эффективности деятельности органов исполнительной власти и используемых ими бюджетных ассигнований;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федеральные целевые программы, включенные в государственные программы, по-прежнему реализуются в качестве самостоятельного и равнозначного с государственными программами инструмента, что препятствует функционированию государственных программ как единого управленческого механизма;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сложившиеся процедуры формирования, внесения изменений, мониторинга, подготовки и представления отчетности о реализации государственных программ чрезмерно усложнены ввиду избыточного количества участников ряда государственных программ, наличия излишних этапов согласования, а также необоснованных требований к детализации представляемых материалов при отсутствии в дальнейшем какого-либо использования подавляющего большинства содержащейся в них информации. Во многом именно сложность процедур работы с государственными программами является причиной того, что уточнение финансовых показателей государственных программ в рамках ведения сводной бюджетной росписи федерального бюджета или внесения изменений в федеральный закон о федеральном бюджете на очередной финансовый год и плановый период в течение финансового года не сопровождается актуализацией иных параметров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оценка эффективности государственных программ носит формальный характер, единая методика такой оценки до настоящего времени нормативным правовым актом не установлена, а результаты оценки в дальнейшей работе по соответствующим государственным программам не применяются;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несмотря на переход к формированию федерального бюджета на основе государственных программ, его формат не полностью соответствует программному. В то время как в успешно реализующих программное бюджетирование странах (например, Австралия, Австрия, Франция) программная структура бюджетных расходов является основной, а в ряде случаев единственной в рамках принимаемого парламентом закона о бюджете, в Российской Федерации она является лишь одним из утверждаемых срезов расходов бюджета, содержащего также иные классификационные признаки (функциональную классификацию, а также классификацию по направлениям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возможности маневрирования финансовыми ресурсами между структурными элементами государственных программ, что в свою очередь ставит под сомнение значение государственных программ как управленческого инструмента.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Попытка частичного решения указанных проблем предпринята в 2017 - 2018 годах в рамках перевода отдельных (пилотных) государственных программ на механизмы проектного </w:t>
      </w:r>
      <w:r w:rsidRPr="009E4102">
        <w:rPr>
          <w:rFonts w:ascii="Times New Roman" w:hAnsi="Times New Roman" w:cs="Times New Roman"/>
        </w:rPr>
        <w:lastRenderedPageBreak/>
        <w:t>управления. В отношении таких государственных программ утверждены отдельные правила разработки, реализации и оценки эффективности, предусматривающие в том числе: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уточнение структуры и формата пилотных государственных программ (выделение в каждой государственной программе проектной и процессной частей, ограничение утверждаемой Правительством Российской Федерации части государственной программы только ее целеполаганием и структурой);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в государственной программе не более 5 конкретных и измеримых целей, декомпозируемых на индикаторы непосредственных (промежуточных) результатов на уровне конкретных проектов и процессов;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досрочное прекращение федеральных целевых программ, входящих в состав пилотных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внедрение процедуры ранжирования проектов и процессов в зависимости от их влияния на цели государственной программы и возможностей их реализации (с учетом потребностей в ресурсном обеспечении и имеющихся рисков).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Указанные мероприятия были необходимы, но недостаточны для дальнейшего полноценного развития системы государственного управления на основе государственных программ, а также для повышения эффективности бюджетных расходов. В этой связи по итогам работы с пилотными государственными программами должен быть проведен тщательный анализ успешности подходов к их формированию и реализации. Дальнейшее совершенствование системы государственных программ должно учитывать результаты такого анализа, а также включать следующие направления: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приведение перечня и структуры государственных программ в соответствие со сферами и приоритетами государственной политики, а не со сложившейся системой и структурой федеральных органов исполнительной власти;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полноценной интеграции в государственные программы мероприятий федеральных целевых программ за счет прекращения реализации последних в течение 2019 - 2020 годов;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консолидация бюджетных расходов, направленных на реализацию государственной политики в конкретных сферах и влияющих на достижение запланированных результатов, в соответствующих государственных программах;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минимизация количества участников государственных программ, в том числе за счет возможного уточнения подведомственности федеральных государственных учреждений и централизации отдельных видов бюджетных ассигнований на уровне ответственных исполнителей государственных программ (например, бюджетные ассигнования на осуществление отдельных социальных выплат (гражданам, подвергшимся воздействию радиации, детям-сиротам и другим категориям лиц) могут администрироваться ответственным исполнителем государственной программы в сфере социальной поддержки населения независимо от места работы или учебы конечного получателя выплаты);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нормативное правовое закрепление критериев отнесения расходов к государственным программам и непрограммным направлениям деятельности;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включение в государственные программы и входящие в их состав проекты и процессы механизмов координации с государственными программами субъектов Российской Федерации и программами деятельности (программами развития, инвестиционными программами) юридических лиц;</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разработка таких инструментов реализации межпрограммных направлений социально-экономической политики, которые бы обеспечили эффективную координацию относящихся к таким направлениям, но реализуемых в составе различных государственных программ мероприятий, не нарушая при этом целостность системы управления соответствующими программами;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возможностей по перераспределению бюджетных ассигнований на реализацию государственных программ в течение финансового года без внесения изменений в федеральный бюджет в пределах предусмотренного федеральным бюджетом общего объема финансового обеспечения соответствующей государственной программы и при условии сохранения значений целевых показателей (индикаторов) соответствующей подпрограммы и в целом государственной программы;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применение в отношении государственных программ практики, в соответствии с которой нормативные правовые акты об утверждении государственных программ (внесении в них изменений) могут рассматриваться как решение Правительства Российской Федерации об осуществлении бюджетных инвестиций в объекты капитального строительства, о реализации мероприятий (укрупненных инвестиционных проектов), по аналогии с порядком, применяемым в настоящее время для федеральных целевых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утверждение актом Правительства Российской Федерации единой методики оценки эффективности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активизация работы Правительственной комиссии по вопросам оптимизации и повышения эффективности бюджетных расходов в части регулярного анализа эффективности государственных программ и выработки предложений по повышению их качества, предусматривающая в том числе формирование в рамках указанной Комиссии рабочей группы по вопросам эффективности государственных программ, возглавляемой Министром экономического развития Российской Федерации или его заместителем и включающей представителей Министерства финансов Российской Федерации, иных заинтересованных федеральных государственных органов и организаций, экспертного сообщества;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концентрация внимания Правительства Российской Федерации и палат Федерального Собрания Российской Федерации на плановых параметрах и фактических результатах реализации государственных программ, в том числе формирование и представление отчета о деятельности Правительства Российской Федерации в разрезе государственных программ (вместо включения данных о результатах реализации государственных программ в состав бюджетной отчетности);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введение в регулярную практику обучающих мероприятий (семинаров) по управлению результатами для сотрудников федеральных органов исполнительной власти, занятых текущей реализацией (а не координацией и формализацией) мероприятий государственных программ (распространение культуры "управления результативностью");</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полноценного информационного ресурса, позволяющего получать актуальную информацию о параметрах и ходе исполнения государственных программ, включая федеральные проекты, в том числе в региональном разрезе.</w:t>
      </w:r>
    </w:p>
    <w:p w:rsidR="009E4102" w:rsidRPr="009E4102" w:rsidRDefault="009E4102">
      <w:pPr>
        <w:pStyle w:val="ConsPlusNormal"/>
        <w:spacing w:before="220"/>
        <w:ind w:firstLine="540"/>
        <w:jc w:val="both"/>
        <w:rPr>
          <w:rFonts w:ascii="Times New Roman" w:hAnsi="Times New Roman" w:cs="Times New Roman"/>
        </w:rPr>
      </w:pPr>
      <w:hyperlink r:id="rId4" w:history="1">
        <w:r w:rsidRPr="009E4102">
          <w:rPr>
            <w:rFonts w:ascii="Times New Roman" w:hAnsi="Times New Roman" w:cs="Times New Roman"/>
            <w:color w:val="0000FF"/>
          </w:rPr>
          <w:t>Указом</w:t>
        </w:r>
      </w:hyperlink>
      <w:r w:rsidRPr="009E4102">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дан старт следующему этапу программно-целевого управления - реализации масштабных национальных проектов. Дальнейшие меры по совершенствованию системы государственных программ должны учитывать необходимость интеграции таких национальных проектов и государственных программ с учетом наработанного опыта в отношении пилотных государственных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Несмотря на то, что ключевое значение в достижении обозначенных Президентом </w:t>
      </w:r>
      <w:r w:rsidRPr="009E4102">
        <w:rPr>
          <w:rFonts w:ascii="Times New Roman" w:hAnsi="Times New Roman" w:cs="Times New Roman"/>
        </w:rPr>
        <w:lastRenderedPageBreak/>
        <w:t>Российской Федерации целей будут иметь именно национальные проекты, то есть проектная составляющая государственных программ, важно обеспечить эффективность реализации всех текущих (процессных) мероприятий, без которых эти цели тоже не могут быть достигнуты. При этом необходимо учитывать, что национальные проекты - это не только новые меры. Многие ранее начатые мероприятия фактически направлены на достижение целей национальных проектов. Такой ресурс также должен быть учтен при формировании и реализации национальных проектов.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Многолетний зарубежный опыт свидетельствует об отсутствии равнозначных альтернатив программно-целевому управлению. Однако становление полноценной системы такого управления требует значительных временных затрат и планомерности в реализации проводимых реформ, изменения управленческой культуры в федеральных органах исполнительной власти, поддержки и постоянного внимания руководства исполнительной и законодательной власти.</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V. Формирование системы управления налоговыми расходами</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Одним из инструментов государственной (муниципальной) поддержки физических и юридических лиц в соответствии с приоритетами социально-экономической политики является предоставление льгот и преференций по налогам, сборам и иным платежам в бюджеты бюджетной системы Российской Федерации. Источником финансового обеспечения подобных мер так же, как и в случае прямых бюджетных расходов, является бюджет, а сами льготы и преференции такого рода являются по своей сути налоговыми расходами.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Под налоговыми расходами понимаются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не относящимися к государственным (муниципальным) программам.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Иными словами, в качестве налоговых расходов рассматриваются не все льготы или преференции, а только льготы или преференции, цели предоставления которых могут быть достигнуты альтернативным способом через предоставление субсидий или осуществление иных прямых расходов бюджетов.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Необходимость внедрения системы управления налоговыми расходами и ее интеграции в бюджетный процесс обусловлена: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отсутствием в настоящее время комплексной системы учета и оценки объемов налоговых расходов, в результате чего невозможна оценка общего объема государственной (муниципальной) поддержки отдельных категорий физических и юридических лиц, а в ряде случаев и целых секторов экономики;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отсутствием системы оценки эффективности налоговых расходов, включая методологию такой оценки и требования к периодичности ее проведения;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практикой установления налоговых льгот без ограничения сроков их действия и без необходимости периодического подтверждения их обоснованности и целесообразности (в отличие от прямых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Отсутствие отдельного учета налоговых расходов 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отсутствие отдельного учета расширенное применение налоговых расходов будет отражаться как сокращение доходов, что может некорректно </w:t>
      </w:r>
      <w:r w:rsidRPr="009E4102">
        <w:rPr>
          <w:rFonts w:ascii="Times New Roman" w:hAnsi="Times New Roman" w:cs="Times New Roman"/>
        </w:rPr>
        <w:lastRenderedPageBreak/>
        <w:t>интерпретироваться как снижение роли государства в экономике.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формирования комплексной системы управления налоговыми расходами необходимо: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законодательное закрепление понятия "налоговые расходы" и необходимости их оценки;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единых методологических подходов к оценке эффективности налоговых расходов для всех публично-правовых образований;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утверждение порядка формирования перечня налоговых расходов и проведения оценки их объемов и эффективности, предусматривающего: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закрепление ответственности за проведение оценки эффективности налоговых расходов за ответственными исполнителями государственных программ, целям которых соответствуют цели предоставления соответствующих налоговых расходов, или за государственными органами, организациями, ответственными за достижение целей социально-экономического развития, не относящихся к государственным программам;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определение общих принципов и обязательных критериев оценки налоговых расходов, включая востребованность соответствующей льготы и ее соответствие целям государственных программ или иным целям социально-экономической политики, а также ее бюджетную эффективность;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необходимость формирования по каждому налоговому расходу вывода о его эффективности и целесообразности на основе разработанных и утвержденных методик оценки налоговых расходов с целью принятия решения о его дальнейшем предоставлении (отмене);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учет результатов оценки эффективности налоговых расходов при формировании основных направлений бюджетной, налоговой и таможенно-тарифной политики на очередной финансовый год и плановый период с подготовкой при необходимости проектов федеральных законов о внесении изменений в законодательство Российской Федерации о налогах и сборах;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уточнение форм налоговой отчетности в целях обеспечения консолидации информации о структуре и объеме налоговых расходов с необходимой степенью детализации;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ведение и опубликование реестра налоговых расходов, включающего сведения об их объемах и результатах оценки эффективности;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учета результатов оценки эффективности налоговых расходов субъектов Российской Федерации при распределении дотаций на выравнивание бюджетной обеспеченности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сравнительного анализа условий получения налоговых льгот и категорий налогоплательщиков, имеющих право на налоговые льготы, условий получения и категорий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VI. Эффективные процедуры планирования и современные</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технологии исполнения бюджета</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 xml:space="preserve">Основой нормативного регулирования в сфере бюджетного планирования на федеральном уровне являются </w:t>
      </w:r>
      <w:hyperlink r:id="rId5" w:history="1">
        <w:r w:rsidRPr="009E4102">
          <w:rPr>
            <w:rFonts w:ascii="Times New Roman" w:hAnsi="Times New Roman" w:cs="Times New Roman"/>
            <w:color w:val="0000FF"/>
          </w:rPr>
          <w:t>Правила</w:t>
        </w:r>
      </w:hyperlink>
      <w:r w:rsidRPr="009E4102">
        <w:rPr>
          <w:rFonts w:ascii="Times New Roman" w:hAnsi="Times New Roman" w:cs="Times New Roman"/>
        </w:rP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утвержденные постановлением Правительства Российской Федерации от 24 </w:t>
      </w:r>
      <w:r w:rsidRPr="009E4102">
        <w:rPr>
          <w:rFonts w:ascii="Times New Roman" w:hAnsi="Times New Roman" w:cs="Times New Roman"/>
        </w:rPr>
        <w:lastRenderedPageBreak/>
        <w:t>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новые правила планирования бюджетных ассигнований требуют дальнейшего совершенствования, в том числе исходя из необходимости решения следующих вопросов: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методологии планирования базовых бюджетных ассигнований, включая нормативное закрепление критериев отнесения бюджетных ассигнований в состав базовых;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единых требований к подготовке предложений по распределению дополнительных бюджетных ассигнований;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порядка рассмотрения предложений по распределению дополнительных бюджетных ассигнований, в том числе критериев их приоритизации в целях принятия решений о принимаемых расходных обязательствах.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Достоверность расчетов требуемого объема бюджетных ассигнований в настоящее время обеспечивается обоснованиями бюджетных ассигнований.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с 2018 года при осуществлении процедур бюджетного планирования расчет объемов бюджетных ассигнований осуществляется с применением системы обоснований плановых сметных показателей, формируемых получателями бюджетных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Фактически на федеральном уровне сложилась единая двухуровневая система обоснования расходов, включающая агрегированные сведения об объемах планируемых расходов на уровне соответствующих главных распорядителей бюджетных средств и детализированные обоснования плановых сметных показателей на уровне подведомственных им получателей бюджетных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Необходимо завершить работу по нормативному правовому определению элементов системы бюджетного планирования и механизмов их взаимоувязки.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перспективе данная система ляжет в основу создания реестра расходов федерального бюджета, содержащего не только правовые основания для их осуществления, но и методики расчета бюджетных ассигнований.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Дальнейшее совершенствование системы обоснований бюджетных ассигнований предполагает их использование в качестве финансово-экономических обоснований расчета стоимости достижения результатов реализации федеральных и национальных проектов в части средств, направляемых на эти цели из федерального бюджета и бюджетов государственных внебюджетных фондов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учетом законодательно установленных норм о представлении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документов и материалов путем размещения в информационно-телекоммуникационной сети "Интернет" необходимо продолжить работу по оптимизации формата федерального бюджета путем сокращения его утверждаемой федеральным законом части за счет представления информации о расходах бюджета по укрупненным классификационным признакам.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этой связи и в целях повышения гибкости принятия решений по перераспределению средств без внесения изменений в федеральный закон о федеральном бюджете планируется проработать вопрос представления информации о расходах федерального бюджета в разрезе групп видов расходов в составе материалов к проекту федерального бюджета, размещаемых в </w:t>
      </w:r>
      <w:r w:rsidRPr="009E4102">
        <w:rPr>
          <w:rFonts w:ascii="Times New Roman" w:hAnsi="Times New Roman" w:cs="Times New Roman"/>
        </w:rPr>
        <w:lastRenderedPageBreak/>
        <w:t>информационно-телекоммуникационной сети "Интернет".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Наряду с совершенствованием порядка составления проекта федерального бюджета необходима разработка правил внесения изменений в федеральный бюджет на текущий финансовый год и плановый период.</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мероприятий по совершенствованию порядка планирования и осуществления бюджетных инвестиций к настоящему времени удалось решить следующие задачи: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урегулированы способы финансового обеспечения капитальных вложений в объекты государственной (муниципальной) собственности, учитывающие особенности правового положения государственных (муниципальных) учреждений и унитарных предприятий;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введены ограничения на предоставление государственной поддержки в форме субсидий и бюджетных инвестиций иностранным юридическим лицам;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восполнен пробел в правовом регулировании порядка подготовки и осуществления капитальных вложений в объекты федеральной собственности, расположенные за пределами территории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 учет в федеральной адресной инвестиционной программе всех объектов капитального строительства юридических лиц, на софинансирование которых предоставляются субсидии и бюджетные инвестиции из федерального бюджета;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сформирована нормативная база, направленная на совершенствование порядка предоставления средств из федерального бюджета государственным корпорациям и обществам с государственным (муниципальным) участием, позволяющая в том числе перейти от взносов в уставные капиталы юридических лиц к другим более эффективным видам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введены основания для принятия от имени публично-правового образования долгосрочных обязательств по предоставлению субсидий на инвестиционные цели на срок, превышающий период бюджетного планирования.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несмотря на проделанную работу, остался ряд следующих нерешенных проблем, препятствующих эффективности инвестиционных расходов бюджета: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наблюдаются высокие объемы незавершенного строительства по объектам капитального строительства, финансируемым за счет средств бюджетов бюджетной системы Российской Федерации, в том числе ввиду отсутствия порядка принятия решений, позволяющих относить затраты, произведенные на этапе подготовительных (проектных) работ, на финансовый результат, в случае нецелесообразности дальнейшей реализации соответствующих мероприятий;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существует избыточная практика предоставления бюджетных инвестиций в уставные капиталы юридических лиц, которые в отличие от субсидий не могут предоставляться "под фактическую потребность", что в результате влечет образование остатков средств, предоставленных юридическим лицам из бюджетов бюджетной системы Российской Федерации, которые временно не используются на цели их предоставления;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предоставлении бюджетных инвестиций в уставные капиталы акционерных обществ в силу положений гражданского законодательства Российской Федерации невозможен возврат в бюджет средств, ранее предоставленных обществу, в случае возникновения экономии при достижении целей или нарушения условий, установленных при их предоставлении;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не формализована процедура принятия решений о предоставлении бюджетных инвестиций в уставные капиталы юридических лиц, не связанных с капитальными вложениями, что не позволяет осуществлять планирование бюджетных ассигнований на эти цели в объемах, реально </w:t>
      </w:r>
      <w:r w:rsidRPr="009E4102">
        <w:rPr>
          <w:rFonts w:ascii="Times New Roman" w:hAnsi="Times New Roman" w:cs="Times New Roman"/>
        </w:rPr>
        <w:lastRenderedPageBreak/>
        <w:t>необходимых в соответствующем финансовом году.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 решение проблемы завышения стоимости строительства и на сокращение объемов незавершенного строительства направлены мероприятия по введению в бюджетный процесс механизма обоснования инвестиций (двухэтапной процедуры принятия решений об осуществлении расходов бюджета на капитальное строительство), в основу которого должно лечь формирование оптимальных проектных решений по объектам капитального строительства, определение их достоверной стоимости, а также в целом целесообразности осуществления бюджетных инвестиций.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минимизации практики предоставления взносов в уставные капиталы юридических лиц планируется расширить применение механизма предоставления субсидий на осуществление капитальных вложений, в том числе в объекты инфраструктуры частной собственности, необходимые для реализации инвестиционных проектов. Условием предоставления таких субсидий должно являться использование на безвозмездной основе созданных объектов в общественных целях с сохранением бремени содержания указанных объектов за получателями субсидий.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практики предоставления субсидий взамен взносов в уставные капиталы позволит избежать образования остатков средств, предоставляемых из федерального бюджета, в том числе с применением механизма предоставления средств "под фактическую потребность".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современных технологий исполнения бюджетов бюджетной системы Российской Федерации неразрывно связано с развитием казначейского обслуживания и созданием системы казначейских платежей.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Основная цель проводимой работы - переход к функционированию единого казначейского счета.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Существующие процедуры кассового обслуживания исполнения бюджетов бюджетной системы Российской Федерации нуждаются в преобразованиях, основными целями которых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исключение дублирования операций, осуществляемых на лицевых счетах и банковских счетах;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оперативное доведение денежных средств плательщика до получателя и предоставление им информации о совершенных операциях.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этой связи необходимо: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внести изменения в законодательство Российской Федерации в части положений о казначейском обслуживании и системе казначейских платежей;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создать систему казначейских счетов, подлежащих открытию в Федеральном казначействе для осуществления и отражения операций с денежными средствами публично-правовых образований, а также юридических лиц, не являющихся участниками бюджетного процесса;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открыть в Центральном банке Российской Федерации банковский счет (банковские счета) в валюте Российской Федерации (в кредитных организациях - в иностранной валюте) для осуществления и отражения операций на казначейских счетах, который составит (которые составят) единый казначейский счет в валюте Российской Федерации (в кредитных организациях - единый казначейский счет в иностранной валюте).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Переход к функционированию единого казначейского счета позволит значительно сократить количество банковских счетов, открытых Федеральному казначейству в Центральном банке </w:t>
      </w:r>
      <w:r w:rsidRPr="009E4102">
        <w:rPr>
          <w:rFonts w:ascii="Times New Roman" w:hAnsi="Times New Roman" w:cs="Times New Roman"/>
        </w:rPr>
        <w:lastRenderedPageBreak/>
        <w:t>Российской Федерации и кредитных организациях, сократить сроки проведения операций, а также совершенствовать инструменты управления остатками средств на едином казначейском счете с целью повышения эффективности и финансовой результативности от размещения бюджетных средств. Это потребует создания механизма осуществления прямых перечислений между клиентами Федерального казначейства, а также клиентами финансовых органов, органов управления государственными внебюджетными фондами Российской Федерации. Данный механизм будет являться основой для создания системы казначейских платежей, которая обеспечит: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перечисление денежных средств между участниками системы казначейских платежей без осуществления перевода денежных средств по банковским счетам;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перечисление денежных средств на основании оптимизированных по составу и структуре форм и форматов распоряжений о перечислении денежных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моментальное доведение информации об исполнении распоряжения до участников системы казначейских платежей;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непрерывности исполнения распоряжений участников системы казначейских платежей, в том числе за счет возможности исполнения таких распоряжений расчетными центрами, расположенными в разных часовых поясах.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Интеграция системы казначейских платежей с платежными системами национальной платежной системы дополнительно позволит: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применять современные сервисы платежных систем;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осуществлять во взаимодействии с национальной системой платежных карт перечисление социальных выплат;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организовать применение национальных платежных инструментов, выпущенных кредитными организациями, участниками системы казначейских платежей для осуществления платежей.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современных технологий исполнения бюджетов бюджетной системы Российской Федерации также связано с совершенствованием механизма казначейского сопровождения бюджетных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Одной из главных причин внедрения механизма казначейского сопровождения при предоставлении средств из бюджетов бюджетной системы Российской Федерации является выплата авансовых платежей, что уже привело к образованию значительного объема дебиторской задолженности, а также в отдельных случаях к нецелевому использованию средств. При этом средства, полученные авансом из бюджета, зачастую размещались на депозитах в коммерческих банках.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Казначейское сопровождение является гибким инструментом контроля, способствующим созданию условий для использования средств исключительно на цели, установленные при их предоставлении из бюджетов бюджетной системы Российской Федерации, и сокращения дебиторской задолженности.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Практика его применения позволила выработать разные модели - от документального контроля до контроля фактов поставки товаров, выполнения работ, оказания услуг (расширенное казначейское сопровождение). Как правило, расширенное казначейское сопровождение применяется по решению Правительства Российской Федерации в отношении средств, предоставляемых в целях создания объектов капитального строительства или реализации иных значимых мероприятий, требующих вложения значительных по объему бюджетных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Ключевым платежным инструментом, исключающим образование дебиторской задолженности, при казначейском сопровождении является казначейское обеспечение обязательств. При использовании казначейского обеспечения обязательств перечисление средств из бюджета на оплату обязательств, возникающих при исполнении государственных (муниципальных) контрактов, контрактов (договоров), соглашений, осуществляется в пределах суммы, необходимой для оплаты указанных обязательств.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до настоящего времени остались нерешенными следующие вопросы: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отсутствие в Бюджетном </w:t>
      </w:r>
      <w:hyperlink r:id="rId6" w:history="1">
        <w:r w:rsidRPr="009E4102">
          <w:rPr>
            <w:rFonts w:ascii="Times New Roman" w:hAnsi="Times New Roman" w:cs="Times New Roman"/>
            <w:color w:val="0000FF"/>
          </w:rPr>
          <w:t>кодексе</w:t>
        </w:r>
      </w:hyperlink>
      <w:r w:rsidRPr="009E4102">
        <w:rPr>
          <w:rFonts w:ascii="Times New Roman" w:hAnsi="Times New Roman" w:cs="Times New Roman"/>
        </w:rPr>
        <w:t xml:space="preserve"> Российской Федерации положений о казначейском сопровождении и казначейском обеспечении обязательств;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недостаточное нормативное правовое регулирование взаимодействия органов государственного контроля (надзора);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в законодательстве Российской Федерации в сфере закупок товаров, работ, услуг для обеспечения государственных (муниципальных) нужд положений о казначейском сопровождении.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Таким образом, для нормативного закрепления вопросов казначейского сопровождения и казначейского обеспечения обязательств необходимо внесение соответствующих изменений в законодательство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недопущения финансовых нарушений участниками казначейского сопровождения при открытии им казначейских счетов и проведении операций на таких счетах необходимо осуществление бюджетного мониторинга, в том числе с использованием доступных информационных ресурсов и информации, полученной в результате межведомственного взаимодействия органов государственного контроля (надзора).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практика осуществления казначейского сопровождения позволила выявить недостаточность имеющихся инструментов для предотвращения нарушений в сфере закупок товаров, работ, услуг для обеспечения государственных (муниципальных) нужд в части необоснованного завышения цен. В этой связи по меньшей мере в отношении контрактов, подлежащих казначейскому сопровождению, необходимо внесение изменений в законодательство Российской Федерации в целях: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обеспечения прозрачного ценообразования при осуществлении закупок за счет бюджетных средств путем раскрытия поставщиком (подрядчиком, исполнителем) структуры цены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уточнения правил ведения поставщиком (подрядчиком, исполнителем) раздельного учета результатов финансово-хозяйственной деятельности по контракту;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обеспечения постепенного перехода к регулированию и установлению предельного уровня рентабельности работ и услуг, закупаемых для государственных (муниципальных) нужд.</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этом следует определить случаи проверки ведения поставщиком (подрядчиком, исполнителем) раздельного учета результатов финансово-хозяйственной деятельности по контракту и информации о структуре цены такого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Аналогичный подход целесообразно использовать и при предоставлении субсидий (взносов в уставные (складочные) капиталы) юридическим лицам из бюджетов бюджетной системы Российской Федерации и их использовании. Указанные субсидии не могут рассматриваться в качестве источника формирования прибыли соответствующих организаций.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этой связи в целях повышения прозрачности предоставления и использования таких субсидий (взносов в уставные (складочные) капиталы) необходима дальнейшая работа по </w:t>
      </w:r>
      <w:r w:rsidRPr="009E4102">
        <w:rPr>
          <w:rFonts w:ascii="Times New Roman" w:hAnsi="Times New Roman" w:cs="Times New Roman"/>
        </w:rPr>
        <w:lastRenderedPageBreak/>
        <w:t>следующим направлениям: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и унификация регулирования вопросов предоставления субсидий (взносов в уставные (складочные) капиталы) и отчетности об их использовании;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и ведение реестра соглашений (договоров) о предоставлении из бюджетов бюджетной системы Российской Федерации субсидий (взносов в уставные (складочные) капиталы) и реестра получателей таких субсидий (взносов в уставные (складочные) капиталы) (реестр конечных получателей).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Дополнительным шагом в развитии современных технологий исполнения бюджета является совершенствование механизмов предоставления населению мер социальной защиты (поддержки) и государственных услуг в социальной сфере, в том числе с использованием электронных сертификатов. В региональной практике уже есть примеры успешного использования данных сертификатов. Целесообразно рассмотреть вопрос о распространении такого механизма, например, на предоставление инвалидам технических средств реабилитации.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Использование электронного сертификата позволяет обеспечить: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рациональное расходование бюджетных средств (касса под потребность);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баланс целевого использования и свободы выбора гражданина (возможность выбора товаров, услуг и их поставщиков, а также удобных места и времени приобретения, в том числе через информационно-телекоммуникационную сеть "Интернет", что особенно важно для людей, ограниченных в передвижении);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стимулирование использования безналичных средств платежа;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сокращение административных издержек (за счет отсутствия необходимости проведения закупок по конкурсным процедурам и формирования складских запасов).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дальнейшее развитие технологий исполнения бюджета в части реализации публичных нормативных обязательств предполагает фактическое осуществление соответствующих выплат только после подтверждения данных об их конкретных получателях на основании достоверной информации государственных информационных систем в сфере социального обеспечения.</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VII. Совершенствование системы закупок товаров, работ,</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услуг для обеспечения государственных (муниципальных) нужд</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Одним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 настоящему времени в Российской Федерации в целом сформирована прозрачная система закупок товаров, работ, услуг для обеспечения государственных (муниципальных) нужд, предусматривающая единые правила закупок, централизованное размещение в единой информационной системе в сфере закупок всей информации о закупках, открытый доступ к участию в закупках. При этом действующие механизмы контрактной системы позволяют своевременно предотвращать нарушения, затрагивающие как общественные интересы, так и интересы поставщиков (подрядчиков, исполнителей) на любой стадии закупочного цикла (от планирования до исполнения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Наряду с выполнением своей основной функции - эффективного и прозрачного обеспечения государственных (муниципальных) нужд в товарах, работах, услугах контрактная система за счет встроенных механизмов поддержки малого предпринимательства, социально ориентированных </w:t>
      </w:r>
      <w:r w:rsidRPr="009E4102">
        <w:rPr>
          <w:rFonts w:ascii="Times New Roman" w:hAnsi="Times New Roman" w:cs="Times New Roman"/>
        </w:rPr>
        <w:lastRenderedPageBreak/>
        <w:t>некоммерческих организаций и преференций российским товарам, работам, услугам является одним из действенных инструментов экономической политики.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Принятие в 2017 - 2018 годах комплексных поправок в Федеральный </w:t>
      </w:r>
      <w:hyperlink r:id="rId7" w:history="1">
        <w:r w:rsidRPr="009E4102">
          <w:rPr>
            <w:rFonts w:ascii="Times New Roman" w:hAnsi="Times New Roman" w:cs="Times New Roman"/>
            <w:color w:val="0000FF"/>
          </w:rPr>
          <w:t>закон</w:t>
        </w:r>
      </w:hyperlink>
      <w:r w:rsidRPr="009E410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соответствующих актов Правительства Российской Федерации создало основу для перехода с 2019 года к новому этапу развития контрактной системы, ключевыми особенностями которого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перевод всех государственных (муниципальных) закупок в электронную форму, обеспечивающую их открытость и прозрачность;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введение новой модели финансового обеспечения участия в закупках, предусматривающей дифференцированный размер обеспечения заявки, возможность предоставления банковской гарантии в электронной форме, а также размещение средств, вносимых в качестве обеспечения заявки на участие в закупке, на специальных счетах участника закупки в банке вместо их внесения на расчетный счет электронной площадки;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функционирование электронных площадок, отобранных (впервые с 2013 года) в соответствии с Федеральным </w:t>
      </w:r>
      <w:hyperlink r:id="rId8" w:history="1">
        <w:r w:rsidRPr="009E4102">
          <w:rPr>
            <w:rFonts w:ascii="Times New Roman" w:hAnsi="Times New Roman" w:cs="Times New Roman"/>
            <w:color w:val="0000FF"/>
          </w:rPr>
          <w:t>законом</w:t>
        </w:r>
      </w:hyperlink>
      <w:r w:rsidRPr="009E4102">
        <w:rPr>
          <w:rFonts w:ascii="Times New Roman" w:hAnsi="Times New Roman" w:cs="Times New Roman"/>
        </w:rPr>
        <w:t xml:space="preserve"> о контрактной системе и соответствующих установленным к ним единым и дополнительным требованиям, в том числе предусматривающим необходимость проведения минимального объема закупок на таких электронных площадках;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стандартизация информации о закупке посредством применения описания позиции каталога товаров, работ, услуг, размещенной в единой информационной системе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упрощение для субъектов малого предпринимательства доступа к закупкам;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ведение в единой информационной системе в сфере закупок единого реестра участников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Вместе с тем правовое регулирование контрактной системы остается нестабильным и недостаточно системным. После вступления в силу в 2013 году Федерального </w:t>
      </w:r>
      <w:hyperlink r:id="rId9"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было принято более 50 федеральных законов о внесении в него изменений, затронувших более 50 процентов его статей (без учета принятых в конце 2017 года комплексных поправок, изменивших или изложивших в новой редакции более 90 из 120 его статей). По сути, в настоящее время действует новая редакция Федерального </w:t>
      </w:r>
      <w:hyperlink r:id="rId10"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сложившаяся в результате постоянных и не всегда последовательных изменений. При этом в контрактной системе сохраняются пробелы и внутренние противоречия правового регулирования.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эффективного функционирования и развития контрактной системы необходимы системные меры по устранению ряда существенных недостатков и ограничений.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Одним из ключевых положений Федерального </w:t>
      </w:r>
      <w:hyperlink r:id="rId11"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является организация закупок на основе каталога товаров, работ, услуг, предусматривающего унификацию наименований и требований к объектам закупок исходя из описания стандартизированных потребностей заказчиков, а не конкретных обращающихся на рынке товаров. Такой каталог должен содержать типовые объекты и (или) группы закупок, что позволяет предложить к поставке взаимозаменяемые товары (услуги).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Систематизация и описание товаров, работ, услуг в указанном каталоге обеспечивает возможность автоматизированного контроля и анализа информации об осуществляемых закупках, включая оценку и сопоставление закупочной деятельности заказчиков и расчет референтных цен на сопоставимые товары, работы, услуги, минимизирует риски описания объекта закупки с целью необоснованного ограничения допуска к закупке и, соответственно, коррупционных проявлений, а также способствует реализации механизма нормирования.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На практике каталог товаров, работ, услуг начал формироваться только с 2017 года и в настоящее время включает лишь отдельные группы товаров, что ограничивает использование его функционала и реализацию принципов контрактной системы в целом, поскольку сохраняются условия для злоупотреблений, приводящих к подгонке предмета закупки под конкретных поставщиков и ограничению конкуренции.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Другим негативным фактором являются чрезмерно усложненные процедуры закупок, включая избыточные требования к формированию заявок, позволяющие недобросовестному заказчику влиять на их результат.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Отдельные способы закупок позволяют заказчику устанавливать неадминистрируемые (субъективные) критерии оценки заявок.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Косвенной оценкой влияния указанных факторов является значительная доля закупок, осуществленных у единственного поставщика (подрядчика, исполнителя). По данным единой информационной системы в сфере закупок, в 2017 году с единственным поставщиком было заключено 1,8 млн. контрактов на общую сумму 3,5 трлн. рублей (56 процентов общего объема заключенных контрактов).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то же время имеют место избыточные требования к действиям заказчика, затрудняющие и в ряде случаев препятствующие осуществлению закупки. К таким требованиям относятся, в частности, необходимость ведения двух обособленных плановых документов - плана закупок и плана-графика закупок, отличающихся исключительно степенью детализации включаемой в них информации, а также чрезмерная конкретизация характеристик объектов закупок в плане-графике закупок, предполагающая необходимость заблаговременной (как минимум за год до осуществления закупки) подготовки заказчиком документации о закупке, обоснование начальной (максимальной) цены, формирования проекта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 многом формальными и слабо контролируемыми остаются обоснования бюджетных ассигнований на осуществление закупок, а также нормирование закупок для обеспечения деятельности органов государственной власти и органов местного самоуправления. Высокая степень самостоятельности заказчиков в принятии решений о нормировании закупок подрывает цель института нормирования ввиду несопоставимости установленных различными заказчиками норм и нормативов.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Нуждается в пересмотре сложившаяся громоздкая система из более чем 11 открытых конкурентных способов определения поставщика (подрядчика, исполнителя). К настоящему времени отдельные способы утратили существенные различительные признаки, стали дублировать отдельные элементы иных способов. Количество нормативных предписаний, предъявляемых к таким способам, отсутствие баланса между общей и специальной частями Федерального </w:t>
      </w:r>
      <w:hyperlink r:id="rId12"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в этой части влекут противоречивую правоприменительную практику.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Остается актуальным вопрос исключения участия в закупках недобросовестных поставщиков (подрядчиков, исполнителей). Решением данного вопроса может быть допуск к контракту только квалифицированных участников закупок, обладающих опытом исполнения контрактов.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Практика применения положений Федерального </w:t>
      </w:r>
      <w:hyperlink r:id="rId13"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в части единых порядка и сроков оплаты по контракту (не более 30 дней (15 дней - для субъектов малого предпринимательства) со дня приемки) выявила необходимость повышения их гибкости, в том числе в отношении закупок финансовых услуг, услуг страхования, а также при наличии в контракте условия о рассрочке оплаты при реализации долгосрочных контрактов.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Противоречивы результаты применения положений Федерального </w:t>
      </w:r>
      <w:hyperlink r:id="rId14"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предусматривающих право обжалования закупки не только ее участником, но и другими </w:t>
      </w:r>
      <w:r w:rsidRPr="009E4102">
        <w:rPr>
          <w:rFonts w:ascii="Times New Roman" w:hAnsi="Times New Roman" w:cs="Times New Roman"/>
        </w:rPr>
        <w:lastRenderedPageBreak/>
        <w:t>организациями. Такое право, изначально направленное на повышение уровня общественного контроля, в ряде случаев стало предметом злоупотреблений, в том числе направленных на получение незаконной выгоды. Такие ситуации несут серьезные риски срыва закупки, поскольку право заключения контракта заказчиком на период рассмотрения жалобы контрольным органом приостанавливается, а в случае расторжения контракта заказчик вынужден проводить новую длительную процедуру определения поставщика (подрядчика, исполнителя). Особенно критичной эта проблема становится в период завершения финансового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Существующий механизм обеспечения экономической ответственности участников закупки действует недостаточно эффективно. Запущенный в 2018 году новый порядок функционирования операторов электронных площадок, предусматривающий использование участниками закупок специальных счетов, открываемых участникам в банках, включенных в </w:t>
      </w:r>
      <w:hyperlink r:id="rId15" w:history="1">
        <w:r w:rsidRPr="009E4102">
          <w:rPr>
            <w:rFonts w:ascii="Times New Roman" w:hAnsi="Times New Roman" w:cs="Times New Roman"/>
            <w:color w:val="0000FF"/>
          </w:rPr>
          <w:t>перечень</w:t>
        </w:r>
      </w:hyperlink>
      <w:r w:rsidRPr="009E4102">
        <w:rPr>
          <w:rFonts w:ascii="Times New Roman" w:hAnsi="Times New Roman" w:cs="Times New Roman"/>
        </w:rPr>
        <w:t xml:space="preserve">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существенно расширил функции банков в контрактной системе.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Однако ответственность банков за неисполнение требований Федерального </w:t>
      </w:r>
      <w:hyperlink r:id="rId16"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не установлена, а вопросы, связанные с определением порядка использования специальных счетов для иных целей и возможности предъявления требований о списании денежных средств с таких счетов в рамках исполнения норм иного профильного законодательства (например, законодательства об исполнительном производстве), не урегулированы.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 в полной мере реализованы функции единой информационной системы в сфере закупок как единого центра размещения информации о закупках и инструмента управления закупками, что связано с:</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отсутствием нормативно установленных единых требований к порядку формирования и размещения в единой информационной системе в сфере закупок информации и документов, предусмотренных Федеральным </w:t>
      </w:r>
      <w:hyperlink r:id="rId17" w:history="1">
        <w:r w:rsidRPr="009E4102">
          <w:rPr>
            <w:rFonts w:ascii="Times New Roman" w:hAnsi="Times New Roman" w:cs="Times New Roman"/>
            <w:color w:val="0000FF"/>
          </w:rPr>
          <w:t>законом</w:t>
        </w:r>
      </w:hyperlink>
      <w:r w:rsidRPr="009E4102">
        <w:rPr>
          <w:rFonts w:ascii="Times New Roman" w:hAnsi="Times New Roman" w:cs="Times New Roman"/>
        </w:rPr>
        <w:t xml:space="preserve"> о контрактной системе, вследствие чего невозможно обеспечить автоматизированный анализ и контроль;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необходимостью в условиях введенных рядом стран экономических секторальных санкций обеспечения дополнительных мер по защите информации относительно участия в отдельных закупках для государственных (муниципальных) нужд субъектов предпринимательской деятельности при сохранении возможности автоматизированного контроля в отношении таких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отсутствием утвержденных типовых контрактов и типовых условий контрактов в отношении большинства предметов закупок, а также автоматической привязки в единой информационной системе в сфере закупок утвержденного типового контракта к соответствующему предмету закупки при размещении информации о закупке заказчиком.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 сферы регулирования, анализа и контроля остаются закупки малого объема, составляющие до 10 процентов общего объема бюджетных расходов на закупки для государственных (муниципальных) нужд. При всех преимуществах действующего порядка осуществления закупок малого объема, обеспечивающих заказчику гибкость и оперативность обеспечения его потребностей, такой порядок не дает поставщикам (подрядчикам, исполнителям), в том числе являющимся субъектами малого предпринимательства, возможности предложить товары, работы, услуги такого же или лучшего качества по более низкой цене и гарантировать при этом защиту своих интересов как в случае с проведением конкурентной закупки.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Таким образом, несмотря на реализованные в 2013 - 2018 годах меры, в целом возможности контрактной системы реализованы далеко не полностью, что приводит к снижению эффективности и прозрачности закупок, ограничению конкуренции, завышению цен на закупаемые товары, работы, услуги, а также коррупционным проявлениям.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решения этих проблем необходимы взаимосвязанные действия по следующим основным направлениям: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механизма планирования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оптимизация процедур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взаимной ответственности заказчиков и исполнителей контрактов;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практики применения предусмотренных законодательством механизмов банковского и казначейского сопровождения;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оптимизация полномочий контрольных органов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функциональных возможностей государственной информационной системы "Независимый регистратор";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функциональных возможностей единой информационной системы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открытости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эффективности противодействия коррупции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внесение системных изменений в Федеральный </w:t>
      </w:r>
      <w:hyperlink r:id="rId18" w:history="1">
        <w:r w:rsidRPr="009E4102">
          <w:rPr>
            <w:rFonts w:ascii="Times New Roman" w:hAnsi="Times New Roman" w:cs="Times New Roman"/>
            <w:color w:val="0000FF"/>
          </w:rPr>
          <w:t>закон</w:t>
        </w:r>
      </w:hyperlink>
      <w:r w:rsidRPr="009E4102">
        <w:rPr>
          <w:rFonts w:ascii="Times New Roman" w:hAnsi="Times New Roman" w:cs="Times New Roman"/>
        </w:rPr>
        <w:t xml:space="preserve"> о контрактной системе и (или) нормативные правовые акты Правительства Российской Федерации в целях реализации предложенных мер.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механизма планирования закупок предусматривает в том числе: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интеграцию планирования закупочной деятельности с бюджетным планированием за счет увязки планируемых закупок (в укрупненном виде), особенно выходящих за сроки действия лимитов бюджетных обязательств, с основными мероприятиями (ведомственными целевыми программами, проектами) в составе государственных (муниципальных) программ;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объединение плана закупок и плана-графика закупок в единый электронный документ, предполагающий поэтапную (с момента доведения лимитов бюджетных обязательств до начала определения поставщика) детализацию содержащейся в нем информации о планируемых закупках, с формированием полноценного описания объекта закупки, проекта контракта, обоснованной начальной (максимальной) ценой ("контрактное планирование") за 3 месяца до начала такой закупки;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роли обоснований бюджетных ассигнований на осуществление закупок и их связи с параметрами самих закупок, в том числе за счет исключения повторного обоснования начальных (максимальных) цен контрактов по конкретным закупкам, а также создания системы сопоставления начальных (максимальных) цен контрактов с данными обоснований бюджетных ассигнований;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возможности начала процедур закупок, детализированных непосредственно в обоснованиях бюджетных ассигнований, до утверждения планов закупок (с заключением контрактов, предусматривающих начало их исполнения после доведения лимитов бюджетных обязательств);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завершение к 2020 году формирования не менее 28 разделов каталога товаров, работ, услуг, охватывающего основную часть закупок товаров, работ, услуг для обеспечения государственных (муниципальных) нужд, при введении функционирования основной части каталога с 2019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интеграции каталога с иными информационными системами, включая государственную информационную систему промышленности и единый структурированный справочник-классификатор лекарственных препаратов;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на основе применения каталога товаров, работ, услуг возможности формирования и использования участниками контрактной системы информации о референтных ценах закупок, а также установление случаев поэтапного введения запретов на закупки товаров, работ, услуг с превышением определенного уровня цен и (или) характеристик, предусмотренных правилами нормирования;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возможности строительства объектов с использованием экономически эффективной проектной документации повторного применения и формированием на ее основе начальной (максимальной) цены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нормирования в сфере закупок, включая: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единого перечня товаров, работ, услуг, подлежащих обязательному нормированию, с возможностью расширения такого перечня по решениям органов государственной власти субъектов Российской Федерации и органов местного самоуправления;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унификацию правил нормирования, установление единого порядка принятия актов о нормировании, универсального набора параметров, подлежащих нормированию (характеристики, цена, объем), случаев обязательного нормирования предельной цены;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осуществление нормирования на основании каталога товаров, работ,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Оптимизация процедур закупок предусматривает в том числе: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оптимизацию форм закупок, в том числе исключение запроса предложений, запроса предложений в электронной форме, объединение конкурса с ограниченным участием с открытым конкурсом, исключение двухэтапного конкурса в качестве отдельного способа закупки за счет объединения его с открытым конкурсом при сохранении возможности обсуждения объекта закупки до размещения извещения о такой закупке;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возможности осуществления закупки по цене единицы товара, работы, услуги независимо от объекта закупки в случае невозможности определения заказчиком фиксированного объема закупаемых товаров, работ, услуг, имея в виду наличие каталога товаров, работ,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положений об указании в заявке на участие в закупке работ по строительству только согласия на поставку товаров, выполнение работ, оказание услуг в соответствии с проектной документацией;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в отношении денежных средств, находящихся на специальных счетах, запрета на совершение операций, не связанных с закупкой, и списание указанных средств по основаниям, не связанным с участием в закупках;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введение универсальной стоимостной предквалификации, предусматривающей допуск к закупкам стоимостью свыше определенного объема только участников, имеющих успешный опыт исполнения любого контракта (договора) независимо от предмета закупки в объеме не менее 20 процентов от начальной (максимальной) цены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предоставление права подачи жалоб при осуществлении закупок исключительно в целях защиты прав и законных интересов подателя жалобы либо в целях защиты интересов неопределенного круга лиц со стороны профессионального сообщества (с сохранением возможности иных лиц направлять обращения о проведении внеплановой проверки);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определение поставщиков (подрядчиков, исполнителей) на основе принципов "электронного магазина" с предварительным размещением участниками закупок заявок-оферт и возможностью оперативного выбора между ними предложения с минимальными ценами (как в отношении нынешних закупок малого объема, так и более крупных закупок в пределах нормативно установленной стоимости с возможностью поиска и анализа соответствующих предложений, а также фиксации цен закупок в соответствии с позициями каталога товаров, работ,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практики централизации закупок, включая централизацию процедур закупок заказчиков различных публично-правовых образований;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нормативное закрепление правил подготовки актов (решений) Президента Российской Федерации и Правительства Российской Федерации об определении единственных поставщиков с учетом обязательного наличия при подготовке таких актов (решений) детального обоснования цены контракта и безусловного введения для таких контрактов казначейского сопровождения расчетов;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заключение контрактов с единственным поставщиком по результатам несостоявшихся процедур в случае превышения нормативно установленного объема только с согласия Федеральной антимонопольной службы и с казначейским сопровождением указанных контрактов (с указанием на это в закупочной документации).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взаимной ответственности заказчиков и исполнителей контрактов предполагает: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наделение Министерства финансов Российской Федерации (наряду с отраслевыми ведомствами) полномочиями по разработке и утверждению типовых контрактов и типовых условий контрактов, содержащих исчерпывающий перечень взаимных обязательств заказчиков и поставщиков (подрядчиков, исполнителей) и основанных на лучшей отраслевой и региональной практике;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наделение Правительства Российской Федерации полномочиями по дифференциации сроков оплаты по контрактам;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утверждение единых форм банковской гарантии и акта сдачи-приемки поставленных товаров, выполненных работ, оказанных услуг, предусмотрев при казначейском сопровождении обязательность формирования и подписания указанных документов в единой информационной системе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ограничение случаев авансирования государственных, (муниципальных) контрактов и расширение случаев казначейского сопровождения предоставляемых авансов;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наделение заказчика в случае расторжения контракта с поставщиком (подрядчиком, исполнителем) правом заключения контракта с другим участником закупки по результатам проведения конкурентного отбора без повторного проведения закупки;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случаев заключения контракта с участником, сведения о котором включены в реестр недобросовестных поставщиков, при которых применяются особые условия исполнения контракта, в том числе запрет авансирования.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Необходимо обеспечить расширение практики применения предусмотренных </w:t>
      </w:r>
      <w:r w:rsidRPr="009E4102">
        <w:rPr>
          <w:rFonts w:ascii="Times New Roman" w:hAnsi="Times New Roman" w:cs="Times New Roman"/>
        </w:rPr>
        <w:lastRenderedPageBreak/>
        <w:t>законодательством механизмов банковского и казначейского сопровождения, в том числе в случаях, когда условиями исполнения контракта предусмотрены авансовые платежи, а также при заключении контракта с единственным поставщиком (подрядчиком, исполнителем).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целью оптимизации полномочий контрольных органов в сфере закупок необходимо: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сформировать вертикаль процедурного контроля, обеспечивающую единство правоприменительной практики и методологии реализации контрольных полномочий контрольных органов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установить актом Правительства Российской Федерации единый порядок осуществления контроля в сфере закупок, в рамках которого будет внедрен риск-ориентированный подход при организации контроля за закупками, и порядок оценки эффективности деятельности контрольных органов в сфере закупок, предусматривающий в том числе показатели такой оценки;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установить возможность органов исполнительной власти субъекта Российской Федерации, уполномоченных на осуществление контроля в сфере закупок, осуществлять полномочия органов местного самоуправления муниципального района и органов местного самоуправления городского округа, уполномоченных на осуществление контроля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установить необходимость передачи материалов в органы исполнительной власти субъектов Российской Федерации, уполномоченные на осуществление контроля в сфере закупок, для возбуждения дел об административных правонарушениях в случаях их выявления соответствующими органами местного самоуправления;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исключить возможность дублирования контрольных функций различных контрольных органов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актуализировать и систематизировать составы административных правонарушений (в том числе в связи с переводом закупок в электронную форму);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включить банки в перечень субъектов контроля, а также установить меры административной ответственности за соблюдение ими требований законодательства Российской Федерации в сфере контрактной системы.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Планируется развитие функциональных возможностей государственной информационной системы "Независимый регистратор", которая должна обеспечивать мониторинг доступности (работоспособности) единой информационной системы в сфере закупок и электронной площадки, хранение информации о такой доступности (работоспособности), фиксацию в режиме реального времени действий (бездействия) участников контрактной системы, а также хранение информации о действиях (бездействии) участников контрактной системы в единой информационной системе в сфере закупок и на электронной площадке, включая информацию об электронных документах, формируемых участниками контрактной системы.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функциональных возможностей единой информационной системы в сфере закупок будет осуществляться за счет: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размещения в единой информационной системе в сфере закупок типовых контрактов в структурированном виде с последующим их обязательным использованием при осуществлении закупки (так называемый конструктор проекта контракта на основе типового контракта);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завершения к 2020 году установления единых требований к содержанию и порядку размещения в единой информационной системе в сфере закупок информации и документов, формируемых при осуществлении закупки, в том числе предусматривающих: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единый порядок ввода информации в единой информационной системе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формирование всех документов, предусмотренных 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автоматизацию формирования протоколов, составляемых при определении поставщика (подрядчика, исполнителя), на основе данных единой информационной системы в сфере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функциональных возможностей единой информационной системы в сфере закупок с учетом предлагаемых решений позволит: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осуществлять оценку степени достижения целей закупок и их обоснованности;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проводить аудит в сфере закупок посредством проверки, анализа и оценки информации об осуществляемых расходах на закупку, о планируемых к заключению, заключенных и исполненных контрактах;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устанавливать причины выявленных отклонений и недостатков и формировать предложения по их устранению;</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осуществлять мониторинг цен при осуществлении закупок товаров, работ,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открытости закупок наряду с внедрением электронных процедур, развитием функциональных возможностей государственной информационной системы "Независимый регистратор" и единой информационной системы в сфере закупок предполагает: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постоянное взаимодействие с общественными организациями, заказчиками и уполномоченными органами (в том числе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создание библиотеки лучших региональных и отраслевых практик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внедрение методик оценки качества организации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изменение порядка осуществления и формирования ежегодных аналитических отчетов о проведении мониторинга закупок;</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создание при Министерстве финансов Российской Федерации совета по вопросам совершенствования законодательства Российской Федерации о контрактной системе.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постоянном расширении объема и качества информации о функционировании и развитии контрактной системы должны быть реализованы взвешенные меры по ограничению доступа к информации о закупках в отдельных сферах путем размещения информации в реестре контрактов в непубличной части единой информационной системы в сфере закупок с обязательным размещением в ней всех контрактов, в том числе при закупках малого объема, а также закупках для нужд обороны и безопасности государства, за исключением закупок товаров, работ, услуг, составляющих государственную тайну, с обеспечением доступа контрольных органов в сфере закупок к информации, включенной в такой реестр.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эффективности противодействия коррупции в сфере закупок, помимо обеспечения полноты, доступности и прозрачности информации о закупках, перевода их в электронную форму, планируется обеспечить: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установлением обязанности члена комиссии заказчика по осуществлению закупок сообщать заказчику о возникновении конфликта интересов с определением объема сведений и порядка их представления заказчику, а также административной ответственности за неисполнение указанного требования;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уточнением единых требований к участникам закупки в части декларирования в заявке обязанности сообщать заказчику информацию о физическом лице, у которого может возникнуть конфликт интересов в связи с участием такого участника в закупке;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усилением контроля за деятельностью должностных лиц заказчика, направленного на выявление необоснованного начисления поставщику неустойки (штрафа, пени) или неправомерного расторжения контракта, в том числе в одностороннем порядке.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целях реализации предложенных мер планируется внесение системных изменений в Федеральный </w:t>
      </w:r>
      <w:hyperlink r:id="rId19" w:history="1">
        <w:r w:rsidRPr="009E4102">
          <w:rPr>
            <w:rFonts w:ascii="Times New Roman" w:hAnsi="Times New Roman" w:cs="Times New Roman"/>
            <w:color w:val="0000FF"/>
          </w:rPr>
          <w:t>закон</w:t>
        </w:r>
      </w:hyperlink>
      <w:r w:rsidRPr="009E4102">
        <w:rPr>
          <w:rFonts w:ascii="Times New Roman" w:hAnsi="Times New Roman" w:cs="Times New Roman"/>
        </w:rPr>
        <w:t xml:space="preserve"> о контрактной системе и (или) нормативные правовые акты Правительства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дальнейшем необходимо исходить из стабилизации правового регулирования контрактной системы в сфере закупок с проработкой вопроса о целесообразности его кодификации. В случае принятия такого решения будет разработан кодекс государственных и муниципальных закупок, который объединит положения Федерального </w:t>
      </w:r>
      <w:hyperlink r:id="rId20"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контрактной системе, Федерального </w:t>
      </w:r>
      <w:hyperlink r:id="rId21"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государственном оборонном заказе" и Федерального </w:t>
      </w:r>
      <w:hyperlink r:id="rId22"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закупках товаров, работ, услуг отдельными видами юридических лиц", а также ключевые положения нормативных правовых актов Правительства Российской Федерации, установив в общей части единые для сферы государственных и муниципальных закупок принципы и механизмы, а в специальных частях - особенности закупок в отдельных сферах.</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VIII. Повышение эффективности и качества оказания</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государственных услуг в социальной сфере</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В 2013 - 2018 годах в целях повышения эффективности и качества оказания государственных услуг, выполнения работ было обеспечено внедрение государственных заданий в качестве основного инструмента управления результатами деятельности государственных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Государственное задание определяет требования к объему и качеству оказываемых государственных услуг, выполняемых работ, что позволяет использовать его в качестве инструмента планирования расходов бюджетов бюджетной системы Российской Федерации на оказание государственных услуг, выполнение работ.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доработки государственного задания как инструмента управления результатами: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упорядочены однотипные государственные услуги, работы (исходя из гарантий и обязательств государства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региональные перечни государственных (муниципальных) услуг, работ, в соответствии с которыми формируются государственные задания);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создана система нормативного финансирования государственных услуг, работ, основанная на нормировании в расчете на единицу услуги, работы, а не на одно учреждение.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Вместе с тем, несмотря на достигнутые результаты, а также на рост расходов консолидированного бюджета Российской Федерации на социальную сферу почти в 3 раза за последние 15 лет, реформы, проводимые в целях совершенствования оказания государственных (муниципальных) услуг, в том числе в целях реализации Федерального </w:t>
      </w:r>
      <w:hyperlink r:id="rId23" w:history="1">
        <w:r w:rsidRPr="009E4102">
          <w:rPr>
            <w:rFonts w:ascii="Times New Roman" w:hAnsi="Times New Roman" w:cs="Times New Roman"/>
            <w:color w:val="0000FF"/>
          </w:rPr>
          <w:t>закона</w:t>
        </w:r>
      </w:hyperlink>
      <w:r w:rsidRPr="009E4102">
        <w:rPr>
          <w:rFonts w:ascii="Times New Roman" w:hAnsi="Times New Roman" w:cs="Times New Roman"/>
        </w:rP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не дали ожидаемых результатов.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Нерешенным остается ряд вопросов, связанных с деятельностью государственных (муниципальных)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Несмотря на значительные усилия, направленные на создание системы нормативного финансирования государственных (муниципальных) услуг, работ, все еще имеет место практика расчета объема финансового обеспечения оказания государственных (муниципальных) услуг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предусмотренных в бюджете на соответствующий финансовый год на указанные цели.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Деятельность по выполнению государственного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учреждений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складывается практика ограничения финансово-экономической самостоятельности учреждений со стороны органа-учредителя.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 зачастую вместо того, чтобы контролировать достижение показателей объема и качества оказания государственных услуг, учредитель осуществляет контроль за финансовыми потоками учреждения, несмотря на то что в соответствии с требованиями к формированию плана финансово-хозяйственной деятельности учреждение самостоятельно определяет направления использования средств субсидии на выполнение государственного задания в соответствии с планом финансово-хозяйственной деятельности. Иными словами, средства субсидии на выполнение государственного задания не обязательно должны использоваться в строгом соответствии с теми направлениями (видами расходов) и объемами расходов, которые учитывались при расчете объема такой субсидии.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Отдельной проблемой, снижающей общую эффективность бюджетных расходов, является неэффективное использование имущественных комплексов учреждений. Отсутствие показателей эффективности использования имущества, закрепленного на праве оперативного управления за государственным (муниципальным) учреждением, вынуждает публично-правовые образования финансировать расходы учреждений на содержание неиспользуемого ими при выполнении государственного задания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Режим распоряжения имуществом, закрепленным на праве оперативного управления, не создает учреждению стимулов для эффективного использования государственного (муниципального) имущества (в том числе для модернизации основных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Решением указанной проблемы может стать введение показателей эффективности использования имущества, закрепленного за государственным (муниципальным) учреждением на праве оперативного управления, с последующей реализацией права собственника имущества, предусмотренного </w:t>
      </w:r>
      <w:hyperlink r:id="rId24" w:history="1">
        <w:r w:rsidRPr="009E4102">
          <w:rPr>
            <w:rFonts w:ascii="Times New Roman" w:hAnsi="Times New Roman" w:cs="Times New Roman"/>
            <w:color w:val="0000FF"/>
          </w:rPr>
          <w:t>статьей 296</w:t>
        </w:r>
      </w:hyperlink>
      <w:r w:rsidRPr="009E4102">
        <w:rPr>
          <w:rFonts w:ascii="Times New Roman" w:hAnsi="Times New Roman" w:cs="Times New Roman"/>
        </w:rPr>
        <w:t xml:space="preserve"> Гражданского кодекса Российской Федерации, по изъятию излишнего, неиспользуемого или используемого не по назначению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Препятствием для развития системы оказания государственных услуг является также имеющее место в ряде случаев распределение государственных заданий по государственным учреждениям административным методом (без должного учета объема и качества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результате органы власти и созданные ими учреждения в большинстве случаев ориентированы на сохранение сложившихся объема и структуры расходов, не заинтересованы в повышении качества услуг и эффективности своей деятельности.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С другой стороны, в настоящее время активно развивается негосударственный некоммерческий сектор, в становлении которого и в вовлечении которого в сферу оказания государственных услуг в социальной сфере существует наибольший потенциал (на 1 января 2018 г. в Российской Федерации зарегистрировано более 223 тыс. некоммерческих организаций, из </w:t>
      </w:r>
      <w:r w:rsidRPr="009E4102">
        <w:rPr>
          <w:rFonts w:ascii="Times New Roman" w:hAnsi="Times New Roman" w:cs="Times New Roman"/>
        </w:rPr>
        <w:lastRenderedPageBreak/>
        <w:t>которых более 140 тыс. являются социально ориентированными некоммерческими организациями и в отличие от государственных учреждений способны аккумулировать ресурсы гражданского общества и финансовые средства, предоставленные из бюджетов бюджетной системы Российской Федерации, обеспечивая доступность и качество оказания государственных услуг. Кроме того, такие организации более мобильны, то есть учитывают потребности и интересы потребителей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Проведенный анализ практики привлечения субъектами Российской Федерации негосударственных организаций в целях оказания государственных услуг показал, что практически все субъекты Российской Федерации имеют соответствующий опыт. В сфере социального обслуживания доступ негосударственных организаций к оказанию государственных услуг обеспечен во всех субъектах Российской Федерации, в сфере образования 44 субъекта Российской Федерации имеют опыт привлечения негосударственных организаций, в сфере спорта - 28 субъектов Российской Федерации, в сфере охраны здоровья, за исключением системы обязательного медицинского страхования, - 21 субъект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процесс вовлечения некоммерческих организаций в сферу оказания государственных услуг также сталкивается с проблемами.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 проведение конкурсов только для негосударственных организаций, как это делается в настоящее время, ограничивает их участие в оказании государственных услуг и одновременно снижает стимулы для государственных учреждений бороться за потребителей и повышать качество оказываемых услуг. В то же время проведение совместных конкурсов с участием негосударственных организаций и государственных учреждений, большинство из которых объективно заинтересованы в прозрачном распределении бюджетных средств, будет способствовать повышению качества и доступности государственных услуг в социальной сфере.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субсидия некоммерческой организации, как правило, предоставляется в форме грантовой поддержки сроком на один год, поэтому договор с публично-правовым образованием на оказание услуг не имеет долгосрочного характера. В связи с этим стабильный процесс оказания услуг организовать сложно, поскольку у некоммерческой организации отсутствуют оборотные средства.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Также проблемой является наличие заведомо неравных условий для некоммерческих организаций и для государственных (муниципальных)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во-первых, государственные (муниципальные) учреждения имеют налоговые льготы, поскольку в соответствии с законодательством Российской Федерации о налогах и сборах оказание государственных (муниципальных) услуг за счет субсидий на финансовое обеспечение государственного (муниципального) задания не является объектом налогообложения;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во-вторых, в силу положений гражданского законодательства Российской Федерации за государственными (муниципальными) учреждениями на праве оперативного управления закреплено государственное (муниципальное) имущество, содержание которого, в том числе капитальный ремонт и реконструкция, осуществляется за счет средств соответствующего бюджета (затраты, связанные с содержанием указанного имущества, учитываются при определении размера субсидии на выполнение государственного задания).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проблемой взаимодействия государства и негосударственного некоммерческого сектора является непрозрачность порядка определения размера субсидии (так, зачастую стоимость оказания государственной услуги государственным учреждением оказывается выше, чем стоимость оказания такой услуги негосударственной некоммерческой организацией), что не позволяет негосударственным организациям планировать свою деятельность и осуществлять вложения в объекты социальной инфраструктуры.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В связи с этим в целях обеспечения конкуренции на рынке государственных услуг необходимо: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утвердить экономически обоснованные нормативные затраты на оказание государственных услуг, работ;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упростить планирование деятельности государственных учреждений, расширив их самостоятельность;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обеспечить проведение инвентаризации государственного (муниципального) имущества, закрепленного за государственными (муниципальными) учреждениями на праве оперативного управления, в целях выявления излишнего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установить показатели эффективности использования государственного (муниципального)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обеспечить внедрение новых подходов к организации оказания гарантированных государством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обеспечить возможность заключения долгосрочных соглашений в целях оказания государственных (муниципальных)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создать равные условия налогообложения при оказании государственных (муниципальных)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обеспечить возможность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(муниципальных)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должны быть определены инструменты для привлечения негосударственных организаций к оказанию государственных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Поэтапное распространение практики использования рыночно ориентированных, конкурентных способов оказания услуг за счет бюджетных средств как государственными, так и негосударственными организациями потребует следующих решений: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законодательное закрепление обязанности органов исполнительной власти, отвечающих за организацию оказания той или иной государственной услуги в социальной сфере, определять государственный социальный заказ - объем и качество конкретной государственной услуги в социальной сфере, что позволит аккумулировать данные об объеме государственных (муниципальных) услуг, гарантируемых государством за счет бюджетных средств, обеспечив для негосударственного сектора прогнозируемость и долгосрочный характер взаимоотношений с государством, а для потребителей услуг - прозрачность процесса организации оказания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исчерпывающего перечня способов выполнения государственного (муниципального) социального заказа, дающего возможность принимать управленческие решения при организации оказания государственных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через государственные (муниципальные) задания подведомственным учреждениям;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путем проведения конкурсов с участием как государственных (муниципальных) учреждений, так и негосударственных организаций, прежде всего социально ориентированных некоммерческих организаций;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соответствии с сертификатами, дающими право гражданам самостоятельно выбрать организации, оказывающие им ту или иную услугу за счет бюджетных средств.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Каким способом выполнять государственный (муниципальный) социальный заказ, каждое публично-правовое образование будет решать самостоятельно в пределах общих для всех (рамочных) принципов и подходов, обеспечивающих единство правоприменительной практики на всей территории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связи с этим для обеспечения справедливой конкуренции на рынке государственных услуг необходимо приступить к организации оказания государственных (муниципальных) услуг путем формирования и утверждения государственного социального заказа с 2020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в сфере оказания государственных услуг должно получить развитие социальное предпринимательство.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Несмотря на то что многие объекты социальной инфраструктуры, такие, как объекты здравоохранения, образования, культуры, спорта и социального обслуживания населения, могут являться объектами государственно-частного партнерства, за частными партнерами закрепляется обязанность только по созданию и эксплуатации соответствующих объектов.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Отсутствует регламентация возможности частного партнера оказывать государственные (муниципальные) услуги с использованием указанных объектов, а публичного партнера - финансировать оказание таких услуг, что является препятствием для заключения соответствующих соглашений. В связи с этим требуется внести изменения в законодательство Российской Федерации, обеспечивающие заключение договоров государственно-частного партнерства или концессионных соглашений как способа организации оказания государственных (муниципальных)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Наряду с развитием уже существующих форм государственно-частного партнерства в социальной сфере необходимо развивать новые механизмы, обеспечивающие соблюдение экономических интересов частного партнера.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настоящее время основными инструментами финансирования социальных услуг являются субсидии, предоставляемые на возмещение затрат поставщиков. Длительные сроки выплаты негосударственным поставщикам средств, затраченных на оказание услуг, также являются барьером для участия представителей частного сектора в оказании государственных (муниципальных) услуг.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Новые инструменты финансирования государственных (муниципальных) услуг должны быть направлены на финансирование предстоящих расходов поставщиков услуг. Такие инструменты предполагают привлечение средств частных инвесторов на решение социальных задач, а средства из бюджета бюджетной системы Российской Федерации предоставляются только после достижения социально значимого эффекта. При этом поставщик услуг получает финансирование на реализацию проекта заблаговременно.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Публично-правовое образование будет определять: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размер возмещения за счет средств соответствующего бюджета затрат на реализацию проекта;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ожидаемые социальные эффекты и единицы их измерения;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требования к паспорту проекта.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Оператор социального проекта осуществляет расчет экономической составляющей (стоимость, окупаемость, доходность инвестора и др.), применяет один из финансовых механизмов сбора средств, предоставляемых инвесторами, проводит конкурентный отбор исполнителей услуг, готовит паспорт проекта, осуществляет расчеты с исполнителями услуг и инвесторами по завершении проекта.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При таком подходе инвесторы будут предоставлять средства оператору проекта и получать выплаты в случае достижения положительных результатов, а исполнители услуг - оказывать услуги целевой группе согласно требуемым показателям, представляя оперативную, ежеквартальную, ежегодную отчетность оператору и другим заинтересованным участникам в зависимости от схемы реализации проекта.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Внедрение новых инструментов целесообразно проводить после проведения пилотной апробации в ряде субъектов Российской Федерации по отдельным государственным (муниципальным) услугам и группам потребителей услуг, привлекая к этой апробации созданные в России институты развития.</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IX. Обеспечение подотчетности (подконтрольности)</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бюджетных расходов</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Необходимым условием повышения эффективности бюджетных расходов является обеспечение подотчетности (подконтрольности) бюджетных расходов, в связи с чем предполагается: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методологии формирования информации по статистике государственных финансов;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правил и процедур бухгалтерского учета и финансовой отчетности для организаций государственного сектора;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системы внутреннего финансового контроля и внутреннего финансового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организации внутреннего государственного финансового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открытости бюджетного процесса и вовлечение в него институтов гражданского общества.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Активная деятельность по разработке методологии формирования информации по статистике государственных финансов ведется с 2016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 истекший период Министерством финансов Российской Федерации разработаны и утверждены: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обеспечения прозрачности (открытости) бюджетного процесса, доступности информации о государственных финансах широкому кругу пользователей, а также обеспечения межстранового сопоставления финансовых и экономических показателей - порядок формирования информации по статистике государственных финансов, которым установлены правила формирования информации по статистике государственных финансов, состав данных, используемых при формировании указанной информации и получаемых от респондентов, требований к этой информации и к составу респондентов;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гармонизации классификации операций сектора государственного управления с требованиями международных стандартов по статистике государственных финансов и системы национальных счетов, а также установления единых требований к применению такого вида классификации для ведения бюджетного (бухгалтерского) учета, составления бюджетной (бухгалтерской) и иной финансовой отчетности - порядок применения классификации операций сектора государственного управления.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Дальнейшее повышение качества данных макроэкономической статистики в Российской Федерации при формировании информации по статистике государственных финансов в соответствии с требованиями международных стандартов связано с расширением охвата сектора государственного управления, в том числе с формированием информационной базы и отбором </w:t>
      </w:r>
      <w:r w:rsidRPr="009E4102">
        <w:rPr>
          <w:rFonts w:ascii="Times New Roman" w:hAnsi="Times New Roman" w:cs="Times New Roman"/>
        </w:rPr>
        <w:lastRenderedPageBreak/>
        <w:t>юридических лиц, подлежащих включению в сектор государственного управления в соответствии с установленными критериями.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этом важно обеспечить полный охват сектора государственного управления. Статистика, формируемая в отношении каждого уровня государственного управления, должна включать все единицы, которые составляют этот сектор.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наряду со статистикой по сектору государственного управления следует также формировать статистику по государственному сектору, оказывающему существенное влияние на налоговую и бюджетную политику.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эффективного анализа налоговой и бюджетной политики основные данные статистики государственных финансов должны способствовать идентификации, измерению, оценке воздействия на экономику и мониторингу мер государственной экономической политики и других видов деятельности.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повышения качества данных и расширения охвата статистики государственных финансов Российской Федерации в 2019 - 2021 годах предусматривается: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ведения перечня юридических лиц, включаемых в сектор государственных финансовых и нефинансовых корпораций, и формирование данных статистики государственных финансов по соответствующим подсекторам;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продолжение работы по гармонизации требований нормативных правовых актов по ведению бюджетного (бухгалтерского) учета, составлению бюджетной (бухгалтерской) и иной финансовой отчетности с требованиями международных стандартов по статистике государственных финансов (в том числе в части раскрытия информации по налоговым расходам, консолидируемым потокам и межсекторальным финансовым операциям);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возможности использования Министерством финансов Российской Федерации и Федеральным казначейством информации из государственного информационного ресурса бухгалтерской (финансовой) отчетности.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развития системы методологии бухгалтерского учета в государственном секторе Министерством финансов Российской Федерации реализуется программа разработки федеральных стандартов бухгалтерского учета для организаций государственного сектора на соответствующие годы, включающая исчерпывающий перечень федеральных стандартов бухгалтерского учета для организаций государственного сектора, планируемых к разработке и поэтапному внедрению в практику применения 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проведения экспертизы проектов федеральных и отраслевых стандартов бухгалтерского учета для организаций государственного сектора, обеспечения условий для единообразного их применения, а также для распространения передового опыта организации и ведения бухгалтерского (бюджетного) учета на базе совета по стандартам бухгалтерского учета образована комиссия по стандартам бухгалтерского учета для организаций государственного сектора.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Дальнейшая адаптация методологии бухгалтерского (бюджетного) учета и бухгалтерской (финансовой) отчетности в секторе государственного управления к требованиям международных стандартов предусматривает: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продолжение работы по утверждению федеральных стандартов согласно программе разработки федеральных стандартов бухгалтерского учета для организаций государственного сектора на соответствующие годы;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разработку методических указаний по переходным положениям федеральных стандартов </w:t>
      </w:r>
      <w:r w:rsidRPr="009E4102">
        <w:rPr>
          <w:rFonts w:ascii="Times New Roman" w:hAnsi="Times New Roman" w:cs="Times New Roman"/>
        </w:rPr>
        <w:lastRenderedPageBreak/>
        <w:t>бухгалтерского учета для организаций государственного сектора при первом их применении, а также методических рекомендаций по применению федеральных стандартов бухгалтерского учета для организаций государственного сектора, планируемых к принятию в очередном отчетном году;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внесение изменений в нормативные правовые акты по бухгалтерскому (бюджетному) учету и бухгалтерской (финансовой) отчетности в части приведения в соответствие указанных актов с утвержденными федеральными стандартами.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Переход к применению федеральных стандартов бухгалтерского учета для организаций государственного сектора планируется завершить в 2021 году.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до настоящего времени остается не до конца урегулированным вопрос формирования консолидированной бухгалтерской (финансовой) отчетности по всем институциональным единицам государственного сектора, а также сегментной отчетности. Так, в периметр консолидации бухгалтерской (финансовой) отчетности сектора государственного управления не в полной мере включаются финансовые потоки, формируемые бюджетными и автономными учреждениями, а унитарные предприятия и хозяйствующие субъекты, созданные публично-правовыми образованиями, пока остаются за рамками консолидированной отчетности государственного сектора. Расширение периметра консолидации и объектов (состава) консолидируемых показателей (операций между организациями, входящими в один периметр) такой бухгалтерской (финансовой) отчетности, а также формирование отчетности по сегментам позволят повысить полноту и достоверность консолидированной бухгалтерской (финансовой) отчетности, качество финансового анализа, мониторинга и управления государственными финансами.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Важным направлением развития системы бухгалтерского учета и отчетности в секторе государственного управления, наряду с совершенствованием ее методологии, является формирование и развитие новой учетно-технологической модели централизации (специализации) полномочий (функций) участников бюджетного процесса на площадках соответствующих центров компетенции.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Ожидаются следующие основные результаты применения такой модели: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снижение рисков недостоверности учетных данных посредством стандартизации, оптимизации и унификации процессов и процедур, а также повышение качества документирования информации об объектах учета и ведения учета, достоверности отчетности;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прозрачности и подотчетности расходов, обеспечение уместности (релевантности) информации, содержащейся в бюджетной отчетности, получение сведений о финансовом положении участников бюджетного процесса по состоянию на любой определенный момент (наличие ресурсов нефинансовых и финансовых активов, обязательств, расчетов с дебиторами и кредиторами и др.);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сокращение расходов бюджетов бюджетной системы Российской Федерации на осуществление обеспечивающих бухгалтерских функций и оптимизация численности выполняющего эти функции персонала, что позволит перераспределять высвобождающиеся ресурсы на решение иных задач;</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создание гибких и адаптивных информационных технологий, а также развитие электронного взаимодействия.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создания новой учетно-технологической модели необходимо:</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единой методики документирования информации об объектах учета, регламентов осуществления учетных и отчетных процедур;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определение правил перевода процессов документирования информации об объектах учета в информационные системы;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законодательной и иной нормативной правовой базы для обеспечения передачи функций по ведению учета и составлению отчетности центрам компетенции;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создание информационно-телекоммуникационной инфраструктуры и программного обеспечения, отвечающего требованиям сформированной в рамках модели нормативной правовой базы.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Площадкой для отработки задач такой модели должен стать проект Министерства финансов Российской Федерации и Федерального казначейства по централизации (специализации) полномочий (функций) по ведению бюджетного учета и формированию отчетности путем передачи полномочий по ведению бюджетного учета, составлению бюджетной отчетности (консолидированной бюджетной отчетности), начислению и выплате заработной платы от федеральных органов исполнительной власти (подведомственных им учреждений) центру компетенции в лице Федерального казначейства, реализация которого началась с 2018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учетом наделения Федерального казначейства указанными полномочиями потребуется изменение подходов к его организационно-функциональной модели в части полномочий по санкционированию расходов и контролю в финансово-бюджетной сфере.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Результатами первого этапа внедрения систем внутреннего финансового контроля и внутреннего финансового аудита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законодательное закрепление бюджетных полномочий главных администраторов бюджетных средств по осуществлению внутреннего финансового контроля и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установление </w:t>
      </w:r>
      <w:hyperlink r:id="rId25" w:history="1">
        <w:r w:rsidRPr="009E4102">
          <w:rPr>
            <w:rFonts w:ascii="Times New Roman" w:hAnsi="Times New Roman" w:cs="Times New Roman"/>
            <w:color w:val="0000FF"/>
          </w:rPr>
          <w:t>Правил</w:t>
        </w:r>
      </w:hyperlink>
      <w:r w:rsidRPr="009E4102">
        <w:rPr>
          <w:rFonts w:ascii="Times New Roman" w:hAnsi="Times New Roman" w:cs="Times New Roman"/>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осуществление Министерством финансов Российской Федерации методического руководства по вопросам проведения внутреннего финансового контроля и внутреннего финансового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наличие у главных администраторов бюджетных средств ведомственных правовых актов, регламентирующих организацию и осуществление внутреннего финансового контроля, а также структурных подразделений внутреннего финансового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Однако в настоящее время полноценному развитию внутреннего финансового контроля и внутреннего финансового аудита препятствуют: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избыточная формализация процедур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искусственное обособление контроля в рамках существующей управленческой структуры и формальный подход к его осуществлению, в результате чего выявляемые системные недостатки не устраняются, а сам внутренний финансовый контроль и внутренний финансовый аудит зачастую дублирует деятельность органов государственного финансового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нераспространение внутреннего финансового контроля и внутреннего финансового аудита на процедуры, осуществляемые в рамках исполнения полномочий финансового органа, получателя бюджетных средств, а также бюджетных и автономных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недостаточное использование инструментов оценки бюджетных рисков и управления ими.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Основными задачами по развитию систем внутреннего финансового контроля и внутреннего финансового аудита на предстоящую перспективу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автоматизация процедур внутреннего финансового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сферы осуществления внутреннего финансового контроля и внутреннего финансового аудита (неохваченные бюджетные полномочия);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разработка и внедрение единой системы обучения, повышения квалификации и сертификации сотрудников организаций государственного сектора в области управления бюджетными рисками и внутреннего финансового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полноценных систем внутреннего финансового контроля и внутреннего финансового аудита, предполагающих не только определение и проведение контрольных действий (проверок) в отношении бюджетных процедур с учетом оценки рисков, но и проведение системной работы по устранению причин и условий реализации рисков, приводящих к грубым нарушениям в финансово-бюджетной сфере и недостижению целевых значений показателей качества финансового менеджмента.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 результатам решения указанных задач и с учетом практики организации и осуществления внутреннего финансового контроля и внутреннего финансового аудита отдельными участниками бюджетного процесса предлагается перейти от внутреннего финансового аудита к осуществлению полноценного внутреннего аудита, который обеспечивает:</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охват всех аспектов деятельности организаций сектора государственного управления;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определение конкретных мер по повышению эффективности их деятельности во взаимосвязи с объемами бюджетных ассигнований, утвержденных в целях финансового обеспечения выполнения возложенных на них полномочий;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гармонизацию систем ведомственного контроля и контроля учредителя.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За последние годы предприняты значительные усилия по совершенствованию правовых и организационных основ осуществления внутреннего государственного финансового контроля. Формирование нормативной правовой базы, регулирующей осуществление деятельности органов внутреннего государственного финансового контроля, находится в завершающей стадии.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 числу основных проблем в сфере проведения внутреннего государственного финансового контроля относятся: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недостаточная правовая определенность сферы внутреннего государственного финансового контроля (формально за его рамками остаются полномочия по финансовому контролю в сфере закупок товаров, работ, услуг для обеспечения государственных (муниципальных) нужд, контролю </w:t>
      </w:r>
      <w:r w:rsidRPr="009E4102">
        <w:rPr>
          <w:rFonts w:ascii="Times New Roman" w:hAnsi="Times New Roman" w:cs="Times New Roman"/>
        </w:rPr>
        <w:lastRenderedPageBreak/>
        <w:t>за использованием средств в сфере жилищно-коммунального хозяйства, не решаются вопросы дублирования контрольной деятельности органов внешнего и внутреннего государственного финансового контроля, эффективного взаимодействия органов внутреннего государственного финансового контроля с ведомственными системами внутреннего финансового контроля и внутреннего финансового аудита);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недостаточный уровень кадрового обеспечения органов внутреннего государственного финансового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дальнейшего развития внутреннего государственного финансового контроля предстоит обеспечить: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механизмов взаимного признания (непризнания) органами внешнего государственного финансового контроля и органами внутреннего государственного финансового контроля результатов контрольной деятельности этих органов;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постепенную переориентацию внутреннего государственного финансового контроля на упреждающий контроль с применением автоматизированных механизмов выявления признаков нарушений (это подразумевает кардинальное сокращение временного разрыва между моментом совершения нарушений и моментом их выявления, пресечения и устранения), а также информирования о них объектов контроля и контролирующих органов;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риск-ориентированного подхода к планированию контрольной деятельности, в том числе обеспечение выбора интенсивности (формы, продолжительности, периодичности и направленности) проведения контрольных действий в зависимости от степени надежности (уровня рискоемкости) деятельности объекта контроля в финансово-бюджетной сфере и применения индикаторов уровня риска в их деятельности;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непрерывного процесса систематизации, анализа, обработки и мониторинга результатов проводимых контрольных мероприятий, а также мониторинга своевременного устранения нарушений, выявленных в ходе проведенных контрольных мероприятий, и принятие объектами контроля мер, направленных на их недопущение впредь;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степени участия главных распорядителей бюджетных средств, государственных заказчиков в системе внутреннего государственного финансового контроля за расходованием бюджетных средств, а также их взаимодействия с контрольно-надзорными органами;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взаимный обмен информацией о результатах контрольных мероприятий, проведенных органами финансового контроля, включая информацию о выявляемых рисках в финансово-бюджетной сфере, в том числе с использованием информационных систем;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единство подходов к управлению рисками в финансово-бюджетной сфере на всех уровнях бюджетной системы Российской Федерации, в том числе с применением взаимосвязанных карт рисков органов государственного финансового контроля и ведомственного контроля (внутреннего финансового аудита) с организацией информационного обмена о результатах контрольной деятельности и выявляемых рисках в финансово-бюджетной сфере.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Основными результатами ранее проведенной работы в области повышения открытости бюджетного процесса являются: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w:t>
      </w:r>
      <w:r w:rsidRPr="009E4102">
        <w:rPr>
          <w:rFonts w:ascii="Times New Roman" w:hAnsi="Times New Roman" w:cs="Times New Roman"/>
        </w:rPr>
        <w:lastRenderedPageBreak/>
        <w:t>понятной для граждан форме;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повышение бюджетной грамотности населения 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содействие представлению субъектами Российской Федерации в открытом доступе значительного объема бюджетных данных;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расширение охвата и развитие практик вовлечения граждан в бюджетный процесс (инициативного бюджетирования) в субъектах Российской Федерации и муниципальных образованиях.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2014 года осуществляется информационное наполнение единого портала бюджетной системы Российской Федерации в информационно-телекоммуникационной сети "Интернет" (далее - единый портал) как ключевого инструмента, обеспечивающего прозрачность и открытость бюджетов бюджетной системы Российской Федерации, бюджетного процесса и финансового состояния публично-правовых образований для общества, а также официального источника информации. Единый портал был введен в эксплуатацию в 2015 году, а начиная с 1 января 2018 г. информационное наполнение единого портала осуществляется и субъектами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соответствии с требованиями </w:t>
      </w:r>
      <w:hyperlink r:id="rId26" w:history="1">
        <w:r w:rsidRPr="009E4102">
          <w:rPr>
            <w:rFonts w:ascii="Times New Roman" w:hAnsi="Times New Roman" w:cs="Times New Roman"/>
            <w:color w:val="0000FF"/>
          </w:rPr>
          <w:t>статьи 192</w:t>
        </w:r>
      </w:hyperlink>
      <w:r w:rsidRPr="009E4102">
        <w:rPr>
          <w:rFonts w:ascii="Times New Roman" w:hAnsi="Times New Roman" w:cs="Times New Roman"/>
        </w:rPr>
        <w:t xml:space="preserve"> Бюджетного кодекса Российской Федерации обеспечена возможность представления ряда документов и материалов, направляемых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(за исключением документов и сведений, отнесенных к государственной тайне либо носящих конфиденциальный характер), в электронном виде на едином портале. При этом на едином портале размещаются не только указанные документы и материалы, но и сам проект федерального закона о федеральном бюджете на очередной финансовый год и плановый период, что обеспечивает полноту представления информации и удобство оперирования информацией в электронном виде. Сервисы единого портала также предоставляют возможность расширенной аналитической работы с информацией - формирование различных аналитических срезов информации и представление информации с использованием картографической основы и в графическом формате.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планировании дальнейших шагов в области открытости бюджетного процесса и вовлечения в него институтов гражданского общества необходимо учитывать:</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невысокую востребованность различными слоями населения открытых бюджетных данных, сопровождаемую постоянным повышением требований стандартов (рекомендаций) международных организаций;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слабую информированность граждан о наличии единого портала и его возможностях;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дефицит практической значимости для граждан инструментов и механизмов открытости деятельности органов государственной власти;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сложный формат представления целей, задач и результатов деятельности органов государственной власти (в том числе в сфере управления общественными финансами), препятствующий росту уровня интереса и доверия граждан к публикуемой информации;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обратной связи с населением по вопросам управления общественными финансами;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координации действий разных ведомств по внедрению механизмов вовлечения граждан в государственное (муниципальное) управление и решение вопросов социально-экономического развития территорий;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отсутствие комплексного правового регулирования инициативного бюджетирования 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недостаточно развитую информационную поддержку инициативного бюджетирования в субъектах Российской Федерации и муниципальных образованиях и, как следствие, недостаточную информированность граждан о реализации программ по инициативному бюджетированию.</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связи с этим для повышения открытости бюджетного процесса и дальнейшего вовлечения в него институтов гражданского общества необходимы: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системы общественного обсуждения проектов нормативных правовых актов, положения которых затрагивают интересы граждан, изложение наиболее социально значимых проектов нормативных правовых актов в формате, понятном для широкой общественности;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понятности для широкой общественности информации, публикуемой на официальных информационных ресурсах о результатах деятельности органов государственной власти, в том числе по управлению государственными финансами;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развитие системы публичных слушаний по проектам бюджетов и отчетам об их исполнении, а также совершенствование механизмов рассмотрения и учета предложений граждан, высказанных при их проведении;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определение правовых основ инициативного бюджетирования и наделение органов государственной власти субъектов Российской Федерации и органов местного самоуправления полномочиями по установлению особенностей реализации инициативного бюджетирования;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включение инициативного бюджетирования в состав возможных механизмов реализации различных мероприятий, направленных в том числе на развитие городской среды;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разработка методических рекомендаций для органов государственной власти субъектов Российской Федерации, органов местного самоуправления и граждан по подготовке и реализации проектов инициативного бюджетирования;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обобщение и распространение лучших региональных (муниципальных) практик реализации проектов инициативного бюджетирования;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формирование и обеспечение свободного доступа к обучающим и информационным материалам по практикам инициативного бюджетирования для граждан - потенциальных участников этих практик и их организаторов, а также популяризация среди различных слоев населения знаний по бюджетной тематике и инструментов участия в управлении общественными финансами, а также популяризация общественного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Особое внимание необходимо уделить совершенствованию форматов представления бюджетов для граждан и отчетов о результатах исполнения бюджетов.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Совершенствование принципов представления информации предусматривает переход от размещения брошюр в информационно-телекоммуникационной сети "Интернет" к использованию возможностей единого портала как основного инструмента, обеспечивающего прозрачность и открытость бюджетов бюджетной системы Российской Федерации с использованием современных интерактивных инструментов визуального представления информации. Для этого необходимо обеспечение постоянной актуализации информационного ресурса единого портала, наполнение его данными субъектов Российской Федерации и муниципальных образований, а также популяризация информации, размещаемой на едином портале.</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lastRenderedPageBreak/>
        <w:t>X. Развитие межбюджетных отношений</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Поддержка субъектов Российской Федерации, в том числе повышение доходной базы и обеспечение устойчивости бюджетов субъектов Российской Федерации и местных бюджетов, а также повышение прозрачности и предсказуемости планирования межбюджетных трансфертов являются приоритетными направлениями государственной политики в сфере межбюджетных отношений.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 2014 по 2017 год доходы консолидированных бюджетов субъектов Российской Федерации имеют положительную динамику. Темп роста доходов составил от 104,5 процента в 2015 году до 108,4 процента в 2017 году. За 4 года доходы консолидированных бюджетов субъектов Российской Федерации выросли более чем на 20 процентов. Основной рост приходится на налоговые и неналоговые доходы - более 25 процентов за 4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Совместная работа Правительства Российской Федерации и высших исполнительных органов государственной власти субъектов Российской Федерации по повышению налоговых и неналоговых доходов консолидированных бюджетов субъектов Российской Федерации, а также по сдерживанию расходов указанных бюджетов (их темп прироста за 4 года составил 15,6 процента, а темп прироста по доходам - 20,8 процента) позволила сократить дефицит консолидированных бюджетов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Количество субъектов Российской Федерации, бюджеты которых исполнены с профицитом, увеличилось с 11 в 2014 году до 38 в 2017 году, а исполненных с дефицитом - сократилось с 74 в 2014 году до 47 в 2017 году.</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2012 - 2014 годах реализованы меры по совершенствованию межбюджетных отношений на региональном и муниципальном уровнях и поэтапному повышению в 2013 - 2016 годах бюджетной обеспеченности муниципальных образований. В результате принятых мер в 2013 - 2017 годах в доходы местных бюджетов зачислялись отдельные налоговые и неналоговые доходы, поступавшие ранее в федеральный бюджет и бюджеты субъектов Российской Федерации. За 2013 - 2017 годы объем таких дополнительных поступлений в местные бюджеты составил 227,4 млрд. рублей.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Разрыв в уровне бюджетной обеспеченности между 10 наиболее обеспеченными и 10 наименее обеспеченными субъектами Российской Федерации за 5 лет, с 2014 по 2018 год, сократился с 6,2 до 5,6 раза.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2016 году принято решение о централизации 1 процента налога на прибыль организаций на 2017 - 2020 годы. Объем прироста 1 процента налога, централизованного в федеральный бюджет, направляется на увеличение объемов дотации на выравнивание бюджетной обеспеченности субъектов Российской Федерации и дотации на поддержку мер по обеспечению сбалансированности бюджетов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Предоставление из федерального бюджета дотаций на выравнивание бюджетной обеспеченности субъектов Российской Федерации позволяет сократить указанный разрыв в уровне бюджетной обеспеченности между субъектами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2014 - 2017 годах проводилось замещение дорогих рыночных заимствований субъектов Российской Федерации более дешевыми бюджетными кредитами из федерального бюджета. Ставка по бюджетным кредитам составляет 0,1 процента.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снижения долговой нагрузки бюджетов субъектов Российской Федерации в 2017 году проведена реструктуризация задолженности по бюджетным кредитам 73 субъектов Российской Федерации, что способствовало созданию условий для стабилизации и снижения долговой нагрузки бюджетов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Кроме того, осуществлялось оказание методологической поддержки и формирование рекомендаций по росту доходов, оптимизации расходов и совершенствованию долговой политики субъектов Российской Федерации при разработке программ оздоровления государственных финансов субъектов Российской Федерации, имеющих высокий уровень долговой нагрузки.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Реализация указанных мер способствовала снижению объема дефицита и государственного долга регионов.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За последние несколько лет в области межбюджетных отношений также был реализован ряд мер, направленных на повышение качества планирования расходов. Если раньше основной объем межбюджетных трансфертов распределялся в течение всего года, что способствовало образованию остатков неиспользованных бюджетных ассигнований, то в настоящее время основной объем межбюджетных трансфертов распределяется между субъектами Российской Федерации федеральным законом о федеральном бюджете на очередной финансовый год и плановый период, что позволяет минимизировать риски неопределенности при формировании бюджетов субъектов Российской Федерации. Федеральным </w:t>
      </w:r>
      <w:hyperlink r:id="rId27" w:history="1">
        <w:r w:rsidRPr="009E4102">
          <w:rPr>
            <w:rFonts w:ascii="Times New Roman" w:hAnsi="Times New Roman" w:cs="Times New Roman"/>
            <w:color w:val="0000FF"/>
          </w:rPr>
          <w:t>законом</w:t>
        </w:r>
      </w:hyperlink>
      <w:r w:rsidRPr="009E4102">
        <w:rPr>
          <w:rFonts w:ascii="Times New Roman" w:hAnsi="Times New Roman" w:cs="Times New Roman"/>
        </w:rPr>
        <w:t xml:space="preserve"> "О федеральном бюджете на 2019 год и на плановый период 2020 и 2021 годов" распределено 86,2 процента межбюджетных трансфертов, в том числе распределены все субсидии (93) и все субвенции.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2016 - 2017 годах в бюджетный процесс на постоянной основе был введен механизм предоставления целевых межбюджетных трансфертов в пределах суммы, необходимой для оплаты денежных обязательств по расходам получателей средств бюджета субъекта Российской Федерации с перечислением таких межбюджетных трансфертов органом Федерального казначейства по поручению получателя средств федерального бюджета. Это позволило обеспечить усиление контроля за использованием целевых межбюджетных трансфертов и их предоставление в объеме, необходимом для оплаты соответствующих денежных обязательств.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этом с 2017 года перечисление Федеральным казначейством из федерального бюджета субсидий бюджету субъекта Российской Федерации осуществляется в пределах суммы, необходимой для софинансирования оплаты денежных обязательств получателей средств бюджета субъекта Российской Федерации, с учетом установленного для соответствующего субъекта Российской Федерации уровня софинансирования. Такой порядок предоставления субсидий обеспечил безусловное соблюдение субъектами Российской Федерации установленного для них уровня софинансирования.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обеспечения распределения субсидий Правительством Российской Федерации ежегодно утверждаются на очередной финансовый год и плановый период предельные уровни софинансирования расходных обязательств субъектов Российской Федерации. При этом ранее утвержденные предельные уровни не подлежат изменению, что позволяет повысить прозрачность и предсказуемость планирования расходов регионами и не дестимулировать регионы при росте налогового потенциала и повышении уровня расчетной бюджетной обеспеченности.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реализации национальных проектов предусмотрено установление более высокого предельного уровня софинансирования из федерального бюджета (до 99 процентов) при предоставлении субсидий в рамках реализации национальных (федеральных) проектов.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остается ряд нерешенных проблем, препятствующих развитию межбюджетных отношений.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В области системы разграничения полномочий в целях уточнения и совершенствования полномочий уровней публичной власти проводится инвентаризация федеральных законов и иных нормативных правовых актов Российской Федерации, устанавливающих требования к осуществлению собственных полномочий субъектов Российской Федерации и муниципальных </w:t>
      </w:r>
      <w:r w:rsidRPr="009E4102">
        <w:rPr>
          <w:rFonts w:ascii="Times New Roman" w:hAnsi="Times New Roman" w:cs="Times New Roman"/>
        </w:rPr>
        <w:lastRenderedPageBreak/>
        <w:t>образований в отраслях экономики и социальной сферы.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По результатам анализа 109 полномочий установлено, что 85 полномочий субъектов Российской Федерации (около 77 процентов), закрепленных Федеральным </w:t>
      </w:r>
      <w:hyperlink r:id="rId28" w:history="1">
        <w:r w:rsidRPr="009E4102">
          <w:rPr>
            <w:rFonts w:ascii="Times New Roman" w:hAnsi="Times New Roman" w:cs="Times New Roman"/>
            <w:color w:val="0000FF"/>
          </w:rPr>
          <w:t>законом</w:t>
        </w:r>
      </w:hyperlink>
      <w:r w:rsidRPr="009E4102">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качестве собственных полномочий субъектов Российской Федерации, дополнительно регулируются 280 нормативными правовыми актами Российской Федерации, из которых 105 - федеральные законы, 10 - указы Президента Российской Федерации, 141 - нормативные правовые акты Правительства Российской Федерации и 24 - акты федеральных органов исполнительной власти.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подходы к оценке субъектами Российской Федерации потребности в финансовом обеспечении собственных полномочий и действующие механизмы финансового обеспечения таких полномочий зачастую не коррелируют друг с другом.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области повышения качества финансового управления, несмотря на позитивные результаты исполнения консолидированных бюджетов в 2017 году, в ряде регионов сохраняется напряженная ситуация с финансовой дисциплиной, государственным долгом, дефицитом и ростом задолженности по бюджетным обязательствам.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Причиной роста государственного долга и просроченной кредиторской задолженности зачастую является ежегодное нереалистичное планирование доходов и расходов бюджетов бюджетной системы Российской Федерации, а также отсутствие грамотно выстроенных приоритетов в бюджетной политике.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на сегодняшний день отмечается недостаточная предсказуемость определения объемов межбюджетных трансфертов, планируемых к предоставлению из федерального бюджета бюджетам субъектов Российской Федерации в плановый период, а также неравномерность доведения указанных трансфертов в течение финансового года.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области организации местного самоуправления сохраняется значительная дифференциация бюджетной обеспеченности муниципальных образований.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Отмечается невысокая эффективность решения вопросов местного значения на территориях небольших муниципальных образований в связи с низким доходным потенциалом и обязательствами по решению стандартного набора вопросов местного значения независимо от объемов собственных ресурсов и размера территории муниципального образования, наличием условий, сдерживающих процесс преобразования (укрупнения) муниципальных образований, и отсутствием межмуниципальных связей.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Установлено неоднозначное правовое регулирование содержания вопросов местного значения, полномочий и прав органов местного самоуправления, снижающее эффективность бюджетных расходов.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Таким образом, необходимо принять меры для решения проблем, препятствующих развитию межбюджетных отношений.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повышения эффективности системы разграничения полномочий планируется принятие следующих мер:</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инвентаризация регулирующего воздействия актов, принятых на федеральном уровне, вплоть до отмены отдельных актов, устанавливающих излишнее регулирование;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уточнение разграничения полномочий между публично-правовыми образованиями (с соответствующими уточнениями их финансового обеспечения и разграничением доходов между бюджетами бюджетной системы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передача на федеральный уровень отдельных полномочий субъектов Российской Федерации, исполнение которых более эффективно на федеральном уровне.</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совершенствования определения объемов средств, предоставляемых на реализацию полномочий субъектов Российской Федерации и муниципальных образований, планируется совершенствование методики определения расчетного объема расходных обязательств субъектов Российской Федерации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Результаты инвентаризации расходных обязательств субъектов Российской Федерации и муниципальных образований на основе расчетных объемов могут быть использованы при предоставлении нецелевых межбюджетных трансфертов.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Кроме того, необходимо осуществлять мониторинг исполнения принятых субъектами Российской Федерации обязательств, установленных в соглашениях о предоставлении бюджетам субъектов Российской Федерации бюджетных кредитов, в рамках проведенной в 2017 году реструктуризации задолженности бюджетов субъектов Российской Федерации по бюджетным кредитам, предоставленным из федерального бюджета.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Также предполагается осуществление контроля за обеспечением проведения субъектами Российской Федерации взвешенной долговой политики, в том числе реализация мер, направленных на снижение долговой нагрузки бюджетов субъектов Российской Федерации, и реализация планов мероприятий по оздоровлению государственных финансов субъекта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необходимо обеспечить дальнейший рост предсказуемости и прозрачности межбюджетных трансфертов, распределение межбюджетных трансфертов не только на очередной финансовый год, но и на плановый период, создать условия, обеспечивающие абсолютную прозрачность в отношениях между федеральным центром и регионами.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повышения уровня предсказуемости предоставления межбюджетных трансфертов из федерального бюджета и эффективности их использования при утверждении федерального закона о федеральном бюджете на очередной финансовый год и плановый период планируется обеспечить преимущественное распределение межбюджетных трансфертов федеральным законом о федеральном бюджете на очередной финансовый год и плановый период и доведение указанных средств до субъектов Российской Федерации в начале финансового года, а также сокращение количества целевых межбюджетных трансфертов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при использовании целевых межбюджетных трансфертов.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оптимизации количества субсидий (исходя из необходимости объединения предоставляемых на одинаковые или близкие цели межбюджетных трансфертов), создания дополнительных стимулов для их получения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следует продолжить работу по укрупнению субсидий.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первоочередном порядке необходимо обеспечить стимулирование субъектов Российской Федерации и муниципальных образований к межрегиональной кооперации и интеграции (в том числе путем введения "горизонтальных" межбюджетных трансфертов).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Дальнейшему совершенствованию нормативной правовой базы в части предоставления иных межбюджетных трансфертов, имеющих целевое назначение, будут способствовать подготовленные изменения в бюджетное законодательство Российской Федерации, предусматривающие новый подход к оказанию финансовой поддержки субъектам Российской </w:t>
      </w:r>
      <w:r w:rsidRPr="009E4102">
        <w:rPr>
          <w:rFonts w:ascii="Times New Roman" w:hAnsi="Times New Roman" w:cs="Times New Roman"/>
        </w:rPr>
        <w:lastRenderedPageBreak/>
        <w:t xml:space="preserve">Федерации, в том числе для реализации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w:t>
      </w:r>
      <w:hyperlink r:id="rId29" w:history="1">
        <w:r w:rsidRPr="009E4102">
          <w:rPr>
            <w:rFonts w:ascii="Times New Roman" w:hAnsi="Times New Roman" w:cs="Times New Roman"/>
            <w:color w:val="0000FF"/>
          </w:rPr>
          <w:t>Указом</w:t>
        </w:r>
      </w:hyperlink>
      <w:r w:rsidRPr="009E4102">
        <w:rPr>
          <w:rFonts w:ascii="Times New Roman" w:hAnsi="Times New Roman" w:cs="Times New Roman"/>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такие, как предоставление иного межбюджетного трансферта (гранта), условиями получения которого является достижение результатов, определенных в соглашении о предоставлении трансферта.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рамках реализации мер по созданию стимулирующих механизмов, направленных на предоставление грантовой поддержки органам государственной власти субъектов Российской Федерации, демонстрирующим высокую динамику наращивания собственного экономического потенциала, предлагается: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установление на уровне субъектов Российской Федерации ограниченного периода действия налоговых льгот с обязательной оценкой эффективности каждой налоговой льготы;</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снижение регулирования налоговых доходов субъектов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стимулирование субъектов Российской Федерации, обеспечивающих прирост налогового потенциала, в том числе по налогу на прибыль организаций.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повышения эффективности решения вопросов местного значения на территориях небольших муниципальных образований предлагается введение вида муниципального образования "муниципальный округ", используемого для муниципальных образований, образуемых в сельской местности, аналогичных городским округам, а также упрощение возможности преобразования муниципальных образований посредством их объединения (укрупнения).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снижения дифференциации бюджетной обеспеченности муниципальных образований необходимо при предоставлении дотаций на выравнивание бюджетной обеспеченности муниципальных образований обеспечить возможность снижения значений критериев выравнивания расчетной бюджетной обеспеченности (финансовых возможностей) муниципалитетов, возможность учета в составе доходного потенциала местных бюджетов при расчете размеров бюджетной обеспеченности и при предоставлении субсидий из местных бюджетов бюджетам субъектов Российской Федерации отдельных неналоговых поступлений в виде платы за негативное воздействие на окружающую среду, доходов, получаемых в виде арендной платы за земельные участки, и средств от продажи права на заключение договоров аренды земельных участков.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повышения эффективности бюджетных расходов следует разграничить полномочия органов местного самоуправления на обязательные к исполнению полномочия и добровольные полномочия, а также уточнить понятия "участие" и "организация", используемые при установлении полномочий в целях финансового обеспечения минимально необходимого гарантированного объема расходных обязательств, связанных с исполнением полномочий по решению вопросов местного значения.</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XI. Совершенствование форм и методов</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государственного управления</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Сложившаяся система государственного управления Российской Федерации характеризуется избыточностью и дублированием функций (полномочий) органов государственной власти, а также наличием тенденции к постоянному увеличению их количества.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Излишняя фрагментация функций (полномочий) органов государственной власти снижает гибкость системы государственного управления, приводит к затягиванию сроков принятия и </w:t>
      </w:r>
      <w:r w:rsidRPr="009E4102">
        <w:rPr>
          <w:rFonts w:ascii="Times New Roman" w:hAnsi="Times New Roman" w:cs="Times New Roman"/>
        </w:rPr>
        <w:lastRenderedPageBreak/>
        <w:t>реализации решений. При этом расходы федерального бюджета на содержание органов государственной власти постоянно увеличиваются.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При принятии руководством страны решений о сокращении предельной численности государственных гражданских служащих федеральных органов исполнительной власти наблюдается рост количества подведомственных им учреждений, создаваемых для реализации функций (полномочий) федеральных органов исполнительной власти, увеличение численности работников действующих учреждений, что приводит в целом к расширению государственного сектора.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Вместе с тем система государственного управления Российской Федерации обладает существенным потенциалом к оптимизации.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целях оптимизации расходов федерального бюджета на содержание органов государственной власти и подведомственных им организаций, созданных в целях оказания услуг (выполнения работ) в интересах органов-учредителей, предлагается создать реестр функций (полномочий) федеральных органов исполнительной власти, определив его структуру и разработав порядок его формирования и ведения.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Ведение указанного реестра в электронном виде позволит на постоянной основе осуществлять мониторинг функций федеральных органов исполнительной власти и своевременно реагировать на увеличение количества функций, приводящее к их дублированию.</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Значительные расходы федерального бюджета предусматриваются на содержание в структурах федеральных органов исполнительной власти и подведомственных им учреждений подразделений, занятых решением вопросов организационного, информационного, документационного, финансово-экономического, хозяйственного и иного обеспечения деятельности (отделы материально-технического снабжения, транспортные отделы, отделы закупок, отделы кадров, отделы начисления заработной платы, отделы бюджетного учета и отчетности, отделы по профилактике коррупционных и иных правонарушений, отделы по защите государственной тайны, организации мероприятий по мобилизационной подготовке и мобилизации, отделы по международному взаимодействию).</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Однако действующее правовое регулирование устанавливает единые требования к порядку планирования и осуществления закупок товаров, работ, услуг, кадрового обеспечения, начисления и выплаты заработной платы сотрудникам, ведения бюджетного учета и формирования бюджетной отчетности, взаимодействия с налоговыми и статистическими органами, органами управления государственными внебюджетными фондами, что приводит к высокой степени унификации (типизации) деятельности обеспечивающего характера у большинства государственных органов и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связи с этим одним из основных направлений оптимизации системы государственного управления является централизация (специализация) обеспечивающих функций федеральных органов исполнительной власти и подведомственных им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Реестр функций (полномочий) федеральных органов исполнительной власти позволит сформировать закрытые перечни функций (полномочий) федеральных органов исполнительной власти, подлежащих централизации (специализации) или передаче на аутсорсинг.</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Централизацию (специализацию) функций предполагается осуществлять путем их передачи специализированным учреждениям и (или) уполномоченным государственным органам.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2018 году Федеральное казначейство уже приступило к централизации функций по ведению бюджетного учета и формированию бюджетной отчетности Министерства науки и высшего образования Российской Федерации, Министерства просвещения Российской Федерации и Федеральной службы по аккредитации.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lastRenderedPageBreak/>
        <w:t>Подобная практика будет распространена на федеральные органы исполнительной власти, руководство деятельностью которых осуществляет Правительство Российской Федерации, и подведомственные им казенные учреждения путем передачи Федеральному казначейству функций по ведению бюджетного учета и формированию бюджетной отчетности указанных органов и учреждений.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Основными ожидаемыми результатами централизации указанных функций в Федеральном казначействе являются снижение рисков недостоверности учетных данных, повышение прозрачности и подотчетности, улучшение финансовой дисциплины, а также оптимизация численности федеральных служащих и расходов федерального бюджета.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Ключевым условием качественной и эффективной централизации обеспечивающих функций является комплексная автоматизация финансово-хозяйственной деятельности получателей бюджетных средств на базе современных информационных технологий.</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Title"/>
        <w:jc w:val="center"/>
        <w:outlineLvl w:val="1"/>
        <w:rPr>
          <w:rFonts w:ascii="Times New Roman" w:hAnsi="Times New Roman" w:cs="Times New Roman"/>
        </w:rPr>
      </w:pPr>
      <w:r w:rsidRPr="009E4102">
        <w:rPr>
          <w:rFonts w:ascii="Times New Roman" w:hAnsi="Times New Roman" w:cs="Times New Roman"/>
        </w:rPr>
        <w:t>XII. Совершенствование механизмов управления</w:t>
      </w:r>
    </w:p>
    <w:p w:rsidR="009E4102" w:rsidRPr="009E4102" w:rsidRDefault="009E4102">
      <w:pPr>
        <w:pStyle w:val="ConsPlusTitle"/>
        <w:jc w:val="center"/>
        <w:rPr>
          <w:rFonts w:ascii="Times New Roman" w:hAnsi="Times New Roman" w:cs="Times New Roman"/>
        </w:rPr>
      </w:pPr>
      <w:r w:rsidRPr="009E4102">
        <w:rPr>
          <w:rFonts w:ascii="Times New Roman" w:hAnsi="Times New Roman" w:cs="Times New Roman"/>
        </w:rPr>
        <w:t>федеральным имуществом</w:t>
      </w:r>
    </w:p>
    <w:p w:rsidR="009E4102" w:rsidRPr="009E4102" w:rsidRDefault="009E4102">
      <w:pPr>
        <w:pStyle w:val="ConsPlusNormal"/>
        <w:jc w:val="center"/>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r w:rsidRPr="009E4102">
        <w:rPr>
          <w:rFonts w:ascii="Times New Roman" w:hAnsi="Times New Roman" w:cs="Times New Roman"/>
        </w:rPr>
        <w:t>Российская Федерация является собственником большого количества объектов имущества - зданий, сооружений, земли, ресурсов недр, объектов интеллектуальной собственности, транспортных средств, ценных бумаг. Совокупная стоимость объектов федерального имущества составляет несколько десятков триллионов рублей. Часть указанных объектов имущества закреплена за соответствующими балансодержателями, а часть составляет государственную казну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процессе финансово-хозяйственной деятельности Российской Федерации как публично-правового образования объекты имущества создаются (приобретаются, выбывают, передаются), что с учетом больших объемов проводимых операций требует развитых механизмов учета, управления и контроля.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 предыдущие годы проделана значительная нормативная, организационная и технологическая работа по совершенствованию механизмов управления федеральным имуществом. В то же время принятые меры пока не позволяют считать вопросы управления федеральным имуществом решенными.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Актуальность вопросов совершенствования механизмов управления федеральным имуществом подтверждается и результатами проверок, проводимых Счетной палатой Российской Федерации и Федеральным казначейством.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 например, отмечаются факты неполного отражения в бухгалтерском учете нефинансовых активов, составляющих имущество казны Российской Федерации и их расхождения с данными реестра федерального имущества, некорректность учета доходов от прибыли (дивидендов) государственных (муниципальных) унитарных предприятий, иных организаций с государственным участием в капитале, нарушения при распоряжении объектами, находящимися в федеральной собственности, и при предоставлении прав пользования ими иным юридическим лицам.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Обобщение сложившейся практики позволяет выявить следующие системные проблемы, оказывающие влияние на эффективность управления федеральным имуществом и требующих решения: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исчерпывающего перечня имущества, составляющего государственную казну Российской Федерации, и порядка оценки ее объектов;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несоответствие практики учета имущества государственной казны Российской Федерации </w:t>
      </w:r>
      <w:r w:rsidRPr="009E4102">
        <w:rPr>
          <w:rFonts w:ascii="Times New Roman" w:hAnsi="Times New Roman" w:cs="Times New Roman"/>
        </w:rPr>
        <w:lastRenderedPageBreak/>
        <w:t>международным стандартам (в том числе в части лесных и водных ресурсов, ресурсов недр и земельных участков);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недостаточная координация данных реестрового учета имущества, осуществляемого уполномоченными федеральными органами, и данных бухгалтерского учета, осуществляемого балансодержателями указанного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отсутствие унифицированных показателей определения эффективности управления имуществом;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низкий уровень интеграции планирования и исполнения федерального бюджета с процедурами управления федеральным имуществом;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несовершенство механизмов финансового обеспечения функций по содержанию имущества казны Российской Федерации;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недостаточность контроля за распоряжением и использованием федерального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Таким образом, дальнейшее развитие механизмов управления федеральным имуществом должно исходить из следующих принципов:</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полнота признания, оценки и учета имущества;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соответствие состава имущества функциям и полномочиям государства;</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открытость информации об объектах имущества, а также сделок с ними;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подконтрольность процедур распоряжения имуществом и его использования.</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Для реализации указанных принципов представляется целесообразной реализация в 2019 - 2022 годах следующих мероприятий:</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обеспечение отражения в бюджетном учете и раскрытия в бюджетной отчетности уполномоченных федеральных органов информации о состоянии активов государственной казны Российской Федерации в соответствии с международными стандартами и практиками;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разработка и внедрение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 а также показателей определения эффективности управления имуществом;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проработка вопроса об использовании единого портала в целях обеспечения открытости и доступности информации об имуществе Российской Федерации, его правообладателях и осуществляемых с ним операциях;</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включение в состав мероприятий финансово-бюджетного контроля мероприятия по контролю за распоряжением федеральным имуществом и его использованием;</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введение унифицированных требований к отчетности по распоряжению государственным (муниципальным) имуществом перед заинтересованными органами власти;</w:t>
      </w:r>
    </w:p>
    <w:p w:rsidR="009E4102" w:rsidRPr="009E4102" w:rsidRDefault="009E4102">
      <w:pPr>
        <w:pStyle w:val="ConsPlusNormal"/>
        <w:spacing w:before="220"/>
        <w:ind w:firstLine="540"/>
        <w:jc w:val="both"/>
        <w:rPr>
          <w:rFonts w:ascii="Times New Roman" w:hAnsi="Times New Roman" w:cs="Times New Roman"/>
        </w:rPr>
      </w:pPr>
      <w:r w:rsidRPr="009E4102">
        <w:rPr>
          <w:rFonts w:ascii="Times New Roman" w:hAnsi="Times New Roman" w:cs="Times New Roman"/>
        </w:rPr>
        <w:t xml:space="preserve">обеспечение соответствия реестровой формы учета всех видов федерального имущества и бухгалтерского учета указанного имущества в том числе путем интеграции государственной </w:t>
      </w:r>
      <w:r w:rsidRPr="009E4102">
        <w:rPr>
          <w:rFonts w:ascii="Times New Roman" w:hAnsi="Times New Roman" w:cs="Times New Roman"/>
        </w:rPr>
        <w:lastRenderedPageBreak/>
        <w:t>интегрированной информационной системы управления общественными финансами "Электронный бюджет" с государственными информационными системами, содержащими соответствующие реестровые записи.</w:t>
      </w: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ind w:firstLine="540"/>
        <w:jc w:val="both"/>
        <w:rPr>
          <w:rFonts w:ascii="Times New Roman" w:hAnsi="Times New Roman" w:cs="Times New Roman"/>
        </w:rPr>
      </w:pPr>
    </w:p>
    <w:p w:rsidR="009E4102" w:rsidRPr="009E4102" w:rsidRDefault="009E4102">
      <w:pPr>
        <w:pStyle w:val="ConsPlusNormal"/>
        <w:pBdr>
          <w:top w:val="single" w:sz="6" w:space="0" w:color="auto"/>
        </w:pBdr>
        <w:spacing w:before="100" w:after="100"/>
        <w:jc w:val="both"/>
        <w:rPr>
          <w:rFonts w:ascii="Times New Roman" w:hAnsi="Times New Roman" w:cs="Times New Roman"/>
          <w:sz w:val="2"/>
          <w:szCs w:val="2"/>
        </w:rPr>
      </w:pPr>
    </w:p>
    <w:p w:rsidR="003A351F" w:rsidRPr="009E4102" w:rsidRDefault="003A351F">
      <w:pPr>
        <w:rPr>
          <w:rFonts w:ascii="Times New Roman" w:hAnsi="Times New Roman" w:cs="Times New Roman"/>
        </w:rPr>
      </w:pPr>
    </w:p>
    <w:sectPr w:rsidR="003A351F" w:rsidRPr="009E4102" w:rsidSect="00E75B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visionView w:inkAnnotations="0"/>
  <w:defaultTabStop w:val="708"/>
  <w:characterSpacingControl w:val="doNotCompress"/>
  <w:compat/>
  <w:rsids>
    <w:rsidRoot w:val="009E4102"/>
    <w:rsid w:val="003A351F"/>
    <w:rsid w:val="009E4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E4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41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D161F1E036CA9268BD2721548734C6BF7C3D376AFEDD51A20B030C0D6D64747313DDB9CEA1493AB451CBFCy9cBI" TargetMode="External"/><Relationship Id="rId13" Type="http://schemas.openxmlformats.org/officeDocument/2006/relationships/hyperlink" Target="consultantplus://offline/ref=5D81D161F1E036CA9268BD2721548734C6BF7C3D376AFEDD51A20B030C0D6D64747313DDB9CEA1493AB451CBFCy9cBI" TargetMode="External"/><Relationship Id="rId18" Type="http://schemas.openxmlformats.org/officeDocument/2006/relationships/hyperlink" Target="consultantplus://offline/ref=5D81D161F1E036CA9268BD2721548734C6BF7C3D376AFEDD51A20B030C0D6D64747313DDB9CEA1493AB451CBFCy9cBI" TargetMode="External"/><Relationship Id="rId26" Type="http://schemas.openxmlformats.org/officeDocument/2006/relationships/hyperlink" Target="consultantplus://offline/ref=5D81D161F1E036CA9268BD2721548734C6BF7D343468FEDD51A20B030C0D6D6466734BD1B8C8B84B3BA1079AB9C7514124DB7D0EA2C43876y8c6I" TargetMode="External"/><Relationship Id="rId3" Type="http://schemas.openxmlformats.org/officeDocument/2006/relationships/webSettings" Target="webSettings.xml"/><Relationship Id="rId21" Type="http://schemas.openxmlformats.org/officeDocument/2006/relationships/hyperlink" Target="consultantplus://offline/ref=5D81D161F1E036CA9268BD2721548734C6BF7D35376FFEDD51A20B030C0D6D64747313DDB9CEA1493AB451CBFCy9cBI" TargetMode="External"/><Relationship Id="rId7" Type="http://schemas.openxmlformats.org/officeDocument/2006/relationships/hyperlink" Target="consultantplus://offline/ref=5D81D161F1E036CA9268BD2721548734C6BF7C3D376AFEDD51A20B030C0D6D64747313DDB9CEA1493AB451CBFCy9cBI" TargetMode="External"/><Relationship Id="rId12" Type="http://schemas.openxmlformats.org/officeDocument/2006/relationships/hyperlink" Target="consultantplus://offline/ref=5D81D161F1E036CA9268BD2721548734C6BF7C3D376AFEDD51A20B030C0D6D64747313DDB9CEA1493AB451CBFCy9cBI" TargetMode="External"/><Relationship Id="rId17" Type="http://schemas.openxmlformats.org/officeDocument/2006/relationships/hyperlink" Target="consultantplus://offline/ref=5D81D161F1E036CA9268BD2721548734C6BF7C3D376AFEDD51A20B030C0D6D64747313DDB9CEA1493AB451CBFCy9cBI" TargetMode="External"/><Relationship Id="rId25" Type="http://schemas.openxmlformats.org/officeDocument/2006/relationships/hyperlink" Target="consultantplus://offline/ref=5D81D161F1E036CA9268BD2721548734C7B77D3F376EFEDD51A20B030C0D6D6466734BD1B8CABE4E3BA1079AB9C7514124DB7D0EA2C43876y8c6I" TargetMode="External"/><Relationship Id="rId2" Type="http://schemas.openxmlformats.org/officeDocument/2006/relationships/settings" Target="settings.xml"/><Relationship Id="rId16" Type="http://schemas.openxmlformats.org/officeDocument/2006/relationships/hyperlink" Target="consultantplus://offline/ref=5D81D161F1E036CA9268BD2721548734C6BF7C3D376AFEDD51A20B030C0D6D64747313DDB9CEA1493AB451CBFCy9cBI" TargetMode="External"/><Relationship Id="rId20" Type="http://schemas.openxmlformats.org/officeDocument/2006/relationships/hyperlink" Target="consultantplus://offline/ref=5D81D161F1E036CA9268BD2721548734C6BF7C3D376AFEDD51A20B030C0D6D64747313DDB9CEA1493AB451CBFCy9cBI" TargetMode="External"/><Relationship Id="rId29" Type="http://schemas.openxmlformats.org/officeDocument/2006/relationships/hyperlink" Target="consultantplus://offline/ref=5D81D161F1E036CA9268BD2721548734C6BE7A3C3568FEDD51A20B030C0D6D64747313DDB9CEA1493AB451CBFCy9cBI" TargetMode="External"/><Relationship Id="rId1" Type="http://schemas.openxmlformats.org/officeDocument/2006/relationships/styles" Target="styles.xml"/><Relationship Id="rId6" Type="http://schemas.openxmlformats.org/officeDocument/2006/relationships/hyperlink" Target="consultantplus://offline/ref=5D81D161F1E036CA9268BD2721548734C6BF7D343468FEDD51A20B030C0D6D64747313DDB9CEA1493AB451CBFCy9cBI" TargetMode="External"/><Relationship Id="rId11" Type="http://schemas.openxmlformats.org/officeDocument/2006/relationships/hyperlink" Target="consultantplus://offline/ref=5D81D161F1E036CA9268BD2721548734C6BF7C3D376AFEDD51A20B030C0D6D64747313DDB9CEA1493AB451CBFCy9cBI" TargetMode="External"/><Relationship Id="rId24" Type="http://schemas.openxmlformats.org/officeDocument/2006/relationships/hyperlink" Target="consultantplus://offline/ref=5D81D161F1E036CA9268BD2721548734C6BE7934356AFEDD51A20B030C0D6D6466734BD3BFC1EB187DFF5ECAF98C5C433EC77D0CyBc5I" TargetMode="External"/><Relationship Id="rId5" Type="http://schemas.openxmlformats.org/officeDocument/2006/relationships/hyperlink" Target="consultantplus://offline/ref=5D81D161F1E036CA9268BD2721548734C6BF703C336BFEDD51A20B030C0D6D6466734BD1B8CABF4930A1079AB9C7514124DB7D0EA2C43876y8c6I" TargetMode="External"/><Relationship Id="rId15" Type="http://schemas.openxmlformats.org/officeDocument/2006/relationships/hyperlink" Target="consultantplus://offline/ref=5D81D161F1E036CA9268BD2721548734C6BF713F346BFEDD51A20B030C0D6D6466734BD1B8CABF493EA1079AB9C7514124DB7D0EA2C43876y8c6I" TargetMode="External"/><Relationship Id="rId23" Type="http://schemas.openxmlformats.org/officeDocument/2006/relationships/hyperlink" Target="consultantplus://offline/ref=5D81D161F1E036CA9268BD2721548734C7B67A393F68FEDD51A20B030C0D6D64747313DDB9CEA1493AB451CBFCy9cBI" TargetMode="External"/><Relationship Id="rId28" Type="http://schemas.openxmlformats.org/officeDocument/2006/relationships/hyperlink" Target="consultantplus://offline/ref=5D81D161F1E036CA9268BD2721548734C6BF7E3A316CFEDD51A20B030C0D6D64747313DDB9CEA1493AB451CBFCy9cBI" TargetMode="External"/><Relationship Id="rId10" Type="http://schemas.openxmlformats.org/officeDocument/2006/relationships/hyperlink" Target="consultantplus://offline/ref=5D81D161F1E036CA9268BD2721548734C6BF7C3D376AFEDD51A20B030C0D6D64747313DDB9CEA1493AB451CBFCy9cBI" TargetMode="External"/><Relationship Id="rId19" Type="http://schemas.openxmlformats.org/officeDocument/2006/relationships/hyperlink" Target="consultantplus://offline/ref=5D81D161F1E036CA9268BD2721548734C6BF7C3D376AFEDD51A20B030C0D6D64747313DDB9CEA1493AB451CBFCy9cBI" TargetMode="External"/><Relationship Id="rId31" Type="http://schemas.openxmlformats.org/officeDocument/2006/relationships/theme" Target="theme/theme1.xml"/><Relationship Id="rId4" Type="http://schemas.openxmlformats.org/officeDocument/2006/relationships/hyperlink" Target="consultantplus://offline/ref=5D81D161F1E036CA9268BD2721548734C6BE7A3C3568FEDD51A20B030C0D6D64747313DDB9CEA1493AB451CBFCy9cBI" TargetMode="External"/><Relationship Id="rId9" Type="http://schemas.openxmlformats.org/officeDocument/2006/relationships/hyperlink" Target="consultantplus://offline/ref=5D81D161F1E036CA9268BD2721548734C6BF7C3D376AFEDD51A20B030C0D6D64747313DDB9CEA1493AB451CBFCy9cBI" TargetMode="External"/><Relationship Id="rId14" Type="http://schemas.openxmlformats.org/officeDocument/2006/relationships/hyperlink" Target="consultantplus://offline/ref=5D81D161F1E036CA9268BD2721548734C6BF7C3D376AFEDD51A20B030C0D6D64747313DDB9CEA1493AB451CBFCy9cBI" TargetMode="External"/><Relationship Id="rId22" Type="http://schemas.openxmlformats.org/officeDocument/2006/relationships/hyperlink" Target="consultantplus://offline/ref=5D81D161F1E036CA9268BD2721548734C6BF7B3E376AFEDD51A20B030C0D6D64747313DDB9CEA1493AB451CBFCy9cBI" TargetMode="External"/><Relationship Id="rId27" Type="http://schemas.openxmlformats.org/officeDocument/2006/relationships/hyperlink" Target="consultantplus://offline/ref=5D81D161F1E036CA9268BD2721548734C6BF7B3F316AFEDD51A20B030C0D6D64747313DDB9CEA1493AB451CBFCy9cB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22398</Words>
  <Characters>127675</Characters>
  <Application>Microsoft Office Word</Application>
  <DocSecurity>0</DocSecurity>
  <Lines>1063</Lines>
  <Paragraphs>299</Paragraphs>
  <ScaleCrop>false</ScaleCrop>
  <Company/>
  <LinksUpToDate>false</LinksUpToDate>
  <CharactersWithSpaces>149774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Гнездилова</dc:creator>
  <cp:lastModifiedBy>Гнездилова</cp:lastModifiedBy>
  <cp:revision>1</cp:revision>
  <dcterms:created xsi:type="dcterms:W3CDTF">2019-03-14T08:28:00Z</dcterms:created>
  <dcterms:modified xsi:type="dcterms:W3CDTF">2019-03-14T08:29:00Z</dcterms:modified>
</cp:coreProperties>
</file>