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DC2A62" w:rsidP="00DC2A6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08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B8602E">
              <w:rPr>
                <w:rFonts w:ascii="PT Astra Serif" w:hAnsi="PT Astra Serif" w:cs="Times New Roman"/>
                <w:b/>
                <w:sz w:val="26"/>
                <w:szCs w:val="26"/>
              </w:rPr>
              <w:t>6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12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B8602E">
              <w:rPr>
                <w:rFonts w:ascii="PT Astra Serif" w:hAnsi="PT Astra Serif" w:cs="Times New Roman"/>
                <w:b/>
                <w:sz w:val="26"/>
                <w:szCs w:val="26"/>
              </w:rPr>
              <w:t>6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C12984" w:rsidRPr="003A4F4D" w:rsidTr="000A2994">
        <w:trPr>
          <w:trHeight w:val="8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84" w:rsidRDefault="00C97370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10.06.2026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166-ФЗ</w:t>
            </w:r>
          </w:p>
          <w:p w:rsidR="00C12984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О технологической платформе создания, развития и эксплуатации информационных систем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- 01.09.2027.</w:t>
            </w:r>
          </w:p>
          <w:p w:rsidR="001B570F" w:rsidRPr="001B570F" w:rsidRDefault="001B570F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Установлен порядок создания, развития и эксплуатации государственных, муниципальных и иных информационных систем на технологической платформе.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Технологическая платформа включает в себя информационные технологии, базы данных, технические, программные, программно-аппаратные и иные средства, предоставляемые на технологической платформе, в том числе через информационно-телекоммуникационные сети. Положение о технологической платформе утверждается Правительством РФ.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Участниками технологической платформы могут быть органы государственной власти РФ и субъектов РФ, иные государственные органы, органы публичной власти федеральных территорий, органы местного самоуправления, органы управления государственными внебюджетными фондами, иные лица, уполномоченные в соответствии с нормативными правовыми актами на осуществление мероприятий по созданию, развитию и эксплуатации информационных систем, коммерческие и некоммерческие организации, в отношении которых правительственной комиссией принято решение о допуске таких организаций в качестве участников технологической платформы.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Участники технологической платформы используют ее компоненты для создания, развития и эксплуатации информационных систем, проводят во взаимодействии с уполномоченным органом оценку целесообразности создания и развития информационных систем на технологической платформе, обеспечивают в пределах своих полномочий реализацию мер по защите информации, обеспечивают взаимодействие информационных систем на технологической платформе с государственной системой обнаружения, предупреждения и ликвидации последствий компьютерных атак на информационные ресурсы РФ.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Определены, в числе прочего, полномочия координатора функционирования и развития платформы, полномочия ее участников и операторов сервисов, а также требования, предъявляемые к инфраструктуре данной платформы, ее сервисам и операторам сервисов.</w:t>
            </w:r>
          </w:p>
          <w:p w:rsidR="00C12984" w:rsidRPr="00B34264" w:rsidRDefault="00C12984" w:rsidP="000A299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с 1 сентября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84" w:rsidRDefault="001B570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C97370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</w:t>
            </w:r>
            <w:r w:rsidR="00A20B02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64" w:rsidRP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10.06.2026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170-ФЗ</w:t>
            </w:r>
          </w:p>
          <w:p w:rsidR="00B34264" w:rsidRDefault="00D94DFA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34264"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часть первую и статьи 251 и 309.1 части второй Налогового кодекса Российской Федерации и статью 15 Основ законодательства Российской Федерации о нотариате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2984" w:rsidRDefault="00C1298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- 10.06.2026 (за исключением отдельных положений).</w:t>
            </w:r>
          </w:p>
          <w:p w:rsidR="001B570F" w:rsidRPr="001B570F" w:rsidRDefault="001B570F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Установлен порядок администрирования ЕНС в случае смерти налогоплательщика или объявления его умершим.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Согласно принятому закону, в частности, в случае отмены ранее осуществленных зачетов в счет будущих налоговых обязательств в связи со смертью физлица или объявлением его умершим, соответствующие суммы подлежат консолидации на ЕНС данного лица в качестве положительного сальдо. Аналогичный порядок предусмотрен в отношении излишне перечисленных сумм денежных средств.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Кроме того, законом установлен порядок формирования совокупной обязанности налогоплательщика на ЕНС наследника в размере суммы задолженности наследодателя, подлежащей погашению наследником в пределах стоимости перешедшего к нему наследственного имущества.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Урегулированы некоторые процедурные вопросы, в том числе связанные с информационным обменом между налоговыми органами и нотариусами.</w:t>
            </w:r>
          </w:p>
          <w:p w:rsidR="00A20B02" w:rsidRPr="000706A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Закон вступает в силу со дня его официального опубликования, за исключением статей 1 и 2, вступающих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2984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84" w:rsidRDefault="00C97370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 Президента РФ от 12.06.2026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416</w:t>
            </w:r>
          </w:p>
          <w:p w:rsidR="00C12984" w:rsidRPr="001B570F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признании утратившим силу Указа Президента Российской Федерации от 31 марта 2023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231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создании, развитии и эксплуатации государственных информационных систем с использованием единой цифровой платформы Российской Федерации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proofErr w:type="spellStart"/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>ГосТех</w:t>
            </w:r>
            <w:proofErr w:type="spellEnd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428D" w:rsidRPr="001B570F" w:rsidRDefault="00A8428D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- 01.09.2027.</w:t>
            </w:r>
          </w:p>
          <w:p w:rsidR="001B570F" w:rsidRPr="00C12984" w:rsidRDefault="001B570F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С 1 сентября 2027 года признан утратившим силу Указ Президента РФ от 31.03.2023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 231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О создании, развитии и эксплуатации государственных информационных систем с использованием единой цифровой платформы Российской Федерации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1B570F">
              <w:rPr>
                <w:rFonts w:ascii="PT Astra Serif" w:hAnsi="PT Astra Serif" w:cs="Times New Roman"/>
                <w:sz w:val="26"/>
                <w:szCs w:val="26"/>
              </w:rPr>
              <w:t>ГосТех</w:t>
            </w:r>
            <w:proofErr w:type="spellEnd"/>
            <w:r w:rsidR="00D94DF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2984" w:rsidRPr="00C12984" w:rsidRDefault="000A299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Со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 xml:space="preserve"> дня вступления в силу (с 01.09.2027) Федерального закона от 10.06.2026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 xml:space="preserve"> 166-ФЗ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>О технологической платформе создания, развития и эксплуатации информационных систем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 xml:space="preserve"> единая цифровая платформа, функционирование которой обеспечено Правительством РФ в соответствии с нормативным правовым актом Президента РФ о создании, развитии и эксплуатации государственных 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информационных систем с использованием единой цифровой платформы РФ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>ГосТех</w:t>
            </w:r>
            <w:proofErr w:type="spellEnd"/>
            <w:r w:rsidR="00D94DF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C12984" w:rsidRPr="00C12984">
              <w:rPr>
                <w:rFonts w:ascii="PT Astra Serif" w:hAnsi="PT Astra Serif" w:cs="Times New Roman"/>
                <w:sz w:val="26"/>
                <w:szCs w:val="26"/>
              </w:rPr>
              <w:t>, считается технологической платформой, предусмотренной данным Федеральным законом.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84" w:rsidRPr="004C71A7" w:rsidRDefault="000A2994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C97370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4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06.06.2026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700</w:t>
            </w:r>
          </w:p>
          <w:p w:rsidR="00C12984" w:rsidRPr="001B570F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C1298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328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- 16.06.2026.</w:t>
            </w:r>
          </w:p>
          <w:p w:rsidR="001B570F" w:rsidRPr="00C12984" w:rsidRDefault="001B570F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порядок и условия предоставления и распределения субсидий бюджетам субъектов РФ в целях </w:t>
            </w:r>
            <w:proofErr w:type="spellStart"/>
            <w:r w:rsidRPr="001B570F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обязательств, возникающих при реализации региональных проектов при участии центров поддержки экспорта, а также в рамках программы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Развитие промышленности и повышение ее конкурентоспособности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sz w:val="26"/>
                <w:szCs w:val="26"/>
              </w:rPr>
              <w:t>Субсидии предоставляются в целях финансирования следующих мероприятий, в частности:</w:t>
            </w:r>
          </w:p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sz w:val="26"/>
                <w:szCs w:val="26"/>
              </w:rPr>
              <w:t>по финансовому обеспечению центров поддержки экспорта в целях оказания поддержки субъектам МСП;</w:t>
            </w:r>
          </w:p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sz w:val="26"/>
                <w:szCs w:val="26"/>
              </w:rPr>
              <w:t xml:space="preserve">по возмещению части затрат организаций, направленных на осуществление экспортной деятельности и реализацию </w:t>
            </w:r>
            <w:proofErr w:type="spellStart"/>
            <w:r w:rsidRPr="00C12984">
              <w:rPr>
                <w:rFonts w:ascii="PT Astra Serif" w:hAnsi="PT Astra Serif" w:cs="Times New Roman"/>
                <w:sz w:val="26"/>
                <w:szCs w:val="26"/>
              </w:rPr>
              <w:t>экспортно</w:t>
            </w:r>
            <w:proofErr w:type="spellEnd"/>
            <w:r w:rsidRPr="00C12984">
              <w:rPr>
                <w:rFonts w:ascii="PT Astra Serif" w:hAnsi="PT Astra Serif" w:cs="Times New Roman"/>
                <w:sz w:val="26"/>
                <w:szCs w:val="26"/>
              </w:rPr>
              <w:t xml:space="preserve"> ориентированных проектов, предусмотренных в рамках региональных программ в соответствии с утвержденным перечнем и лимитами финансирования.</w:t>
            </w:r>
          </w:p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sz w:val="26"/>
                <w:szCs w:val="26"/>
              </w:rPr>
              <w:t>Расчетный размер субсидии, предоставляемой бюджету субъекта РФ, определяется по утвержденной формуле.</w:t>
            </w:r>
          </w:p>
          <w:p w:rsidR="00A20B02" w:rsidRPr="00FF5850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C12984">
              <w:rPr>
                <w:rFonts w:ascii="PT Astra Serif" w:hAnsi="PT Astra Serif" w:cs="Times New Roman"/>
                <w:sz w:val="26"/>
                <w:szCs w:val="26"/>
              </w:rPr>
              <w:t>Оценка эффективности использования субсидий осуществляется Министерством промышленности и торговли Российской Федерации путем сравнения плановых значений результата использования субсидий и фактически достигнутых субъектами РФ значений результата использования субсидий.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A20B02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607A8F">
        <w:trPr>
          <w:trHeight w:val="3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C97370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</w:t>
            </w:r>
            <w:r w:rsidR="00772E7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701</w:t>
            </w:r>
          </w:p>
          <w:p w:rsidR="00C12984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6 февраля 2001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C12984"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89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- 08.06.2026.</w:t>
            </w:r>
          </w:p>
          <w:p w:rsidR="001B570F" w:rsidRPr="001B570F" w:rsidRDefault="001B570F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Скорректирован перечень премий за выдающиеся достижения в области науки и техники, образования, культуры, литературы, искусства, туризма и СМИ, суммы которых не подлежат налогообложению.</w:t>
            </w:r>
          </w:p>
          <w:p w:rsidR="00C12984" w:rsidRPr="001B570F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Перечень приведен в соответствие с Указом Президента РФ от 6 октября 2025 г.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 xml:space="preserve"> 719 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О некоторых вопросах государственной политики в области культуры</w:t>
            </w:r>
            <w:r w:rsidR="00D94DF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B570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20B02" w:rsidRPr="00FF5850" w:rsidRDefault="000A299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C12984" w:rsidRPr="001B570F">
              <w:rPr>
                <w:rFonts w:ascii="PT Astra Serif" w:hAnsi="PT Astra Serif" w:cs="Times New Roman"/>
                <w:sz w:val="26"/>
                <w:szCs w:val="26"/>
              </w:rPr>
              <w:t>остановление вступает в силу со дня его официального опубликования.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772E7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C97370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6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64" w:rsidRP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710</w:t>
            </w:r>
          </w:p>
          <w:p w:rsidR="00B34264" w:rsidRDefault="00D94DFA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34264"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>О проведении эксперимента по оптимизации и повышению качества отчетности, представляемой в федеральные органы исполнительной власти, государственные внебюджетные фонды и государственные корпорации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- 09.06.2026.</w:t>
            </w:r>
          </w:p>
          <w:p w:rsidR="001B570F" w:rsidRPr="001B570F" w:rsidRDefault="001B570F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 1 июля 2026 г. по 30 ноября 2030 г. будет проводиться эксперимент по оптимизации и повышению качества отчетности, представляемой в федеральные органы исполнительной власти и ГВБФ.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В целях реализации эксперимента до 22 июня 2026 г. должен быть сформирован состав межведомственной рабочей группы.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Определен перечень федеральных органов исполнительной власти, являющихся участниками эксперимента, осуществляющими запрос сведений по формам отчетов.</w:t>
            </w:r>
          </w:p>
          <w:p w:rsidR="00A20B02" w:rsidRPr="000706A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Также рекомендовано исполнительным органам субъектов РФ принять участие в эксперименте в качестве поставщиков данных и (или) сведений, необходимых для осуществления государственных функций, и обеспечить размещение и доступность государственных данных на витринах данных для последующего формирования автоматизируемых отчетов, а также актуализацию таких данных.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C97370" w:rsidP="00607A8F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7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09.06.2026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712</w:t>
            </w:r>
          </w:p>
          <w:p w:rsidR="00B34264" w:rsidRPr="001B570F" w:rsidRDefault="00D94DFA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34264"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требований к актам Правительства Российской Федерации, на основании которых создаются федеральные государственные информационные системы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34264" w:rsidRPr="001B570F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1B570F" w:rsidRPr="00B34264" w:rsidRDefault="001B570F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B570F">
              <w:rPr>
                <w:rFonts w:ascii="PT Astra Serif" w:hAnsi="PT Astra Serif" w:cs="Times New Roman"/>
                <w:sz w:val="26"/>
                <w:szCs w:val="26"/>
              </w:rPr>
              <w:t>Установлены требования к актам Правительства, на основании которых создаются федеральные государственные информационные системы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B34264" w:rsidRP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sz w:val="26"/>
                <w:szCs w:val="26"/>
              </w:rPr>
              <w:t>Закреплены требования к правовым актам в части: установления общих положений о федеральной государственной информационной системе; установления положений о структуре, задачах и основных функциях системы; состава и полномочий участников системы; состава и порядка размещения информации в системе и предоставления информации из системы; порядка обеспечения доступа к информации, содержащейся в системе; информационного взаимодействия системы с иными информационными системами и пр.</w:t>
            </w:r>
          </w:p>
          <w:p w:rsidR="00B34264" w:rsidRP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sz w:val="26"/>
                <w:szCs w:val="26"/>
              </w:rPr>
              <w:t>Региональным органам власти рекомендовано осуществлять подготовку правовых актов, являющихся основанием создания региональных государственных информационных систем, с учетом утвержденных требований в части требований к структуре и содержанию положения о государственной информационной системе.</w:t>
            </w:r>
          </w:p>
          <w:p w:rsidR="009C7D59" w:rsidRPr="000706A4" w:rsidRDefault="000A299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B34264" w:rsidRPr="00B34264">
              <w:rPr>
                <w:rFonts w:ascii="PT Astra Serif" w:hAnsi="PT Astra Serif" w:cs="Times New Roman"/>
                <w:sz w:val="26"/>
                <w:szCs w:val="26"/>
              </w:rPr>
              <w:t>остановление вступает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0A29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0A2994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C97370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="001A73E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C12984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Граждане могут оформить вычет за благотворительность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bookmarkStart w:id="0" w:name="_GoBack"/>
            <w:bookmarkEnd w:id="0"/>
          </w:p>
          <w:p w:rsidR="001B570F" w:rsidRPr="00997620" w:rsidRDefault="001B570F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ФНС: гражданин может получить социальный вычет по расходам на благотворительность</w:t>
            </w:r>
            <w:r w:rsidR="00997620" w:rsidRPr="00997620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2984" w:rsidRPr="00997620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Вычет предоставляется в размере пожертвований, но не превышает 25% годового дохода физлица.</w:t>
            </w:r>
          </w:p>
          <w:p w:rsidR="00C12984" w:rsidRPr="00997620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Сообщается, в каких случаях предоставляется вычет, а также приведены обстоятельства, при которых вычет не предоставляется.</w:t>
            </w:r>
          </w:p>
          <w:p w:rsidR="009E48C3" w:rsidRPr="00DC2A62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Чтобы воспользоваться вычетом, следует подать в налоговый орган декларацию по форме 3-НДФЛ и приложить подтверждающие документы.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323A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Default="00C97370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9</w:t>
            </w:r>
            <w:r w:rsidR="001A73E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984" w:rsidRPr="00C12984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04.06.2026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БС-36-11/4766@</w:t>
            </w:r>
          </w:p>
          <w:p w:rsidR="00C12984" w:rsidRDefault="00D94DFA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2984" w:rsidRPr="00C12984">
              <w:rPr>
                <w:rFonts w:ascii="PT Astra Serif" w:hAnsi="PT Astra Serif" w:cs="Times New Roman"/>
                <w:b/>
                <w:sz w:val="26"/>
                <w:szCs w:val="26"/>
              </w:rPr>
              <w:t>О применении абзаца седьмого пункта 8 статьи 217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97620" w:rsidRPr="00997620" w:rsidRDefault="00997620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Разъяснены условия освобождения от НДФЛ сумм единовременных выплат, осуществляемых работодателями работникам при рождении (усыновлении, удочерении) ребенка, установлении опеки.</w:t>
            </w:r>
          </w:p>
          <w:p w:rsidR="00C12984" w:rsidRPr="00997620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В соответствии с абзацем седьмым пункта 8 статьи 217 НК РФ не облагаются НДФЛ суммы единовременных выплат (в том числе в виде материальной помощи), выплачиваемых работодателями в течение первого года после рождения (усыновления, удочерения), установления опеки, но не более 1 миллиона рублей на каждого ребенка.</w:t>
            </w:r>
          </w:p>
          <w:p w:rsidR="004323AF" w:rsidRPr="009E48C3" w:rsidRDefault="00C12984" w:rsidP="00C129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Соответствующие суммы освобождаются от налогообложения, в том числе если такие выплаты производятся несколькими работодателями в пользу одного налогоплательщика.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323A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Default="001A73E5" w:rsidP="00C97370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 w:rsidR="00C97370">
              <w:rPr>
                <w:rFonts w:ascii="PT Astra Serif" w:hAnsi="PT Astra Serif" w:cs="Times New Roman"/>
                <w:sz w:val="26"/>
                <w:szCs w:val="26"/>
              </w:rPr>
              <w:t>0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264" w:rsidRPr="00B34264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D94DF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1256655-8</w:t>
            </w:r>
          </w:p>
          <w:p w:rsidR="00B34264" w:rsidRDefault="00D94DFA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34264" w:rsidRPr="00B34264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145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97370" w:rsidRDefault="00C97370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9737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Внесен сенатором РФ В.В. Якушевым, депутатами Государственной Думы ФС РФ В.А. Васильевым, А.Д. Жуковым, А.М. Макаровым.</w:t>
            </w:r>
          </w:p>
          <w:p w:rsidR="00997620" w:rsidRPr="00997620" w:rsidRDefault="00997620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В Госдуму поступил законопроект, фиксирующий размер выручки в размере 20 млн. рублей, при достижении которого налогоплательщик, применяющий УСН, становится плательщиком НДС.</w:t>
            </w:r>
          </w:p>
          <w:p w:rsidR="00B34264" w:rsidRPr="00997620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Действующими положениями НК РФ предусматривается поэтапное снижение предельного размера доходов, при достижении которого налогоплательщик, применяющий УСН, становится плательщиком НДС с 20 млн. рублей в 2026 году до 10 млн. рублей начиная с 2028 года.</w:t>
            </w:r>
          </w:p>
          <w:p w:rsidR="004323AF" w:rsidRPr="009E48C3" w:rsidRDefault="00B34264" w:rsidP="00B342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97620">
              <w:rPr>
                <w:rFonts w:ascii="PT Astra Serif" w:hAnsi="PT Astra Serif" w:cs="Times New Roman"/>
                <w:sz w:val="26"/>
                <w:szCs w:val="26"/>
              </w:rPr>
              <w:t>Предусмотренные законопроектом меры направлены на поддержку субъектов малого бизнеса в текущей экономической и геополитической ситуации.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0A2994">
          <w:rPr>
            <w:rFonts w:ascii="PT Astra Serif" w:hAnsi="PT Astra Serif"/>
            <w:noProof/>
          </w:rPr>
          <w:t>5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35EBD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D4AD1"/>
    <w:rsid w:val="00FD662C"/>
    <w:rsid w:val="00FE28A6"/>
    <w:rsid w:val="00FE390E"/>
    <w:rsid w:val="00FE62A7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4F9FABB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AF038-E3AF-400D-A266-D1ECA484A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8</cp:revision>
  <cp:lastPrinted>2025-12-11T07:34:00Z</cp:lastPrinted>
  <dcterms:created xsi:type="dcterms:W3CDTF">2026-06-17T09:50:00Z</dcterms:created>
  <dcterms:modified xsi:type="dcterms:W3CDTF">2026-06-18T03:40:00Z</dcterms:modified>
</cp:coreProperties>
</file>