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297945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5.07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F2024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Default="00F20247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08.07.2024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161-ФЗ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Об исполнении федерального бюджета за 2023 год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20247" w:rsidRDefault="00F20247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- 08.07.2024.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Утвержден отчет об исполнении федерального бюджета в 2023 году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Доходы бюджета составили 29,124 трлн рублей. Расходы в 2023 году определены в сумме 32,354 трлн рублей, что на 11% превышает плановый показатель. Бюджет исполнен с дефицитом 3,230 трлн рублей.</w:t>
            </w:r>
          </w:p>
          <w:p w:rsidR="00F20247" w:rsidRPr="0075032C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Инфляция составила 7,4%, превысив целевой ориентир 4,0%. Опережающими темпами росли инвестиции - 9,8%. Рост реальных располагаемых доходов населения составил 5,8%. Госдолг увеличился на 12,2% и составил 25,6 трлн рублей, при увеличении внутреннего и снижении внешнего долга. Консолидированные бюджеты регионов исполнены с дефицитом 200,1 млрд рублей. Количество субъектов РФ, исполнивших консолидированный бюджет с дефицитом, увеличилось с 50 до 55, количество регионов, исполнение бюджетов которых сложилось с профицитом, снизилось с 36 до 35.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B6702F" w:rsidRDefault="009F69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024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08.07.2024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162-ФЗ</w:t>
            </w:r>
          </w:p>
          <w:p w:rsidR="00F20247" w:rsidRDefault="009F691A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Об исполнении бюджета Фонда пенсионного и социального страхования Российской Федерации за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- 19.07.2024.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Утвержден отчет СФР об исполнении бюджета за 2023 год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Бюджет Фонда исполнен по доходам в сумме 13 264,9 млрд. рублей, по расходам - 13 858,3 млрд. рублей.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Общий объем дефицита бюджета Фонда за 2023 год составил 593,4 млрд. рублей.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На исполнение публичных нормативных обязательств направлено 13 400,2 млрд. рублей. Рост среднего размера страховых пенсий за 2023 год составил 6,1% к уровню 2022 года.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В отчетном периоде расходы на выплату страховых пенсий составили 9 057,8 млрд. рублей. Средний размер назначенных пенсий на конец 2023 года составил 19 638,79 рубля, страховой пенсии - 20 286,53 рубля, страховой пенсии по старости - 21 042,0 рубля, социальной пенсии - 12 516,51 рубля, пенсии военнослужащих срочной службы и членов их семей - 16 826,63 рубля.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С 2023 года СФР начал выплачивать ежемесячное пособие в связи с рождением и воспитанием ребенка (единое пособие). Расходы на выплату указанного пособия составили 1 142,9 млрд.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B6702F" w:rsidRDefault="009F69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024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08.07.2024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163-ФЗ</w:t>
            </w:r>
          </w:p>
          <w:p w:rsidR="00F20247" w:rsidRDefault="009F691A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Об исполнении бюджета Федерального фонда обязательного медицинского страхования за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- 19.07.2024.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Утвержден отчет ФФОМС об исполнении бюджета за 2023 год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Доходы Фонда составили 3 290,7 млрд. рублей, расходы - 3 185,9 млрд. рублей. По итогам 2023 года бюджет Фонда исполнен с профицитом в размере 104,8 млрд. рублей.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В расходах бюджета основную долю (86,2%) составляют субвенции бюджетам территориальных фондов ОМС.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B6702F" w:rsidRDefault="009F69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024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08.07.2024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173-ФЗ</w:t>
            </w:r>
          </w:p>
          <w:p w:rsidR="00F20247" w:rsidRDefault="009F691A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17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Об обязательном пенсионном страховании 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статью 26.1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 страховых пенсиях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F691A" w:rsidRDefault="009F691A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Принят закон о возобновлении с 1 января 2025 года индексации страховой пенсии и фиксированной выплаты к страховой пенсии работающим пенсионерам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Страховые пенсии работающих пенсионеров будут ежегодно индексироваться в соответствии с предложенным механизмом. СФР произведет расчет прибавки к страховой пенсии за счет индексации на основе данных индивидуального (персонифицированного) учета о размере страховой пенсии работающего гражданина, в котором учтены все предыдущие индексации (увеличения), корректировки и перерасчеты.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B6702F" w:rsidRDefault="009F69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41BF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02.07.2024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569</w:t>
            </w:r>
          </w:p>
          <w:p w:rsidR="00B55950" w:rsidRDefault="009F691A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032C"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Указ Президента Российской Федерации от 27 января 2024 г.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5032C"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032C"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>О временном порядке раскрытия и предоставления информации хозяйственными обществами, являющимися экономически значимыми организациями, и некоторыми иными лицами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- 02.07.2024.</w:t>
            </w:r>
          </w:p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>Уточнен временный порядок раскрытия и предоставления информации экономически значимыми организациями и другими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>В частности, экономически значимые организации (ЭЗО) обязаны направить уведомление в Банк России или Минэкономразвития о наличии (отсутствии) иностранных лиц, прямо или косвенно владеющих акциями (долями в уставном капитале) ЭЗО, с указанием размера доли иностранного владения. В случае если ЭЗО являются публичными акционерными обществами, акции которых допущены к организованным торгам, направление такой информации в отношении лиц, владеющих менее чем 5 процентами акций такого общества, не требуется.</w:t>
            </w:r>
          </w:p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не вправе запрашивать информацию, раскрытие и (или) предоставление которой не осуществляются, требовать ее раскрытие и (или) предоставление третьи лица, в том числе органы местного самоуправления, кредитные и </w:t>
            </w:r>
            <w:proofErr w:type="spellStart"/>
            <w:r w:rsidRPr="0075032C">
              <w:rPr>
                <w:rFonts w:ascii="Times New Roman" w:hAnsi="Times New Roman" w:cs="Times New Roman"/>
                <w:sz w:val="28"/>
                <w:szCs w:val="28"/>
              </w:rPr>
              <w:t>некредитные</w:t>
            </w:r>
            <w:proofErr w:type="spellEnd"/>
            <w:r w:rsidRPr="0075032C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финансовые организации, лица, оказывающие профессиональные услуги на финансовом рынке, нотариусы, аудиторские организации, органы государственной власти и иные государственные органы, за исключением предусмотренных Указом </w:t>
            </w:r>
            <w:r w:rsidR="00872B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 xml:space="preserve"> 73 случаев.</w:t>
            </w:r>
          </w:p>
          <w:p w:rsidR="0075032C" w:rsidRPr="0075032C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внесения изменений в Налоговый кодекс и Федеральный закон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>Об особенностях регулирования корпоративных отношений в хозяйственных обществах, являющихся экономически значимыми организациями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 xml:space="preserve"> лица, указанные в пунктах 1 и 2 части 1 статьи 7 данного Закона, вправе передать право на вступление в прямое владение акциями (долями в уставном капитале) либо частью акций (долей в уставном капитале) ЭЗО российским физическим и (или) юридическим лицам.</w:t>
            </w:r>
          </w:p>
          <w:p w:rsidR="0075032C" w:rsidRPr="00E41BF3" w:rsidRDefault="0075032C" w:rsidP="00750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32C">
              <w:rPr>
                <w:rFonts w:ascii="Times New Roman" w:hAnsi="Times New Roman" w:cs="Times New Roman"/>
                <w:sz w:val="28"/>
                <w:szCs w:val="28"/>
              </w:rPr>
              <w:t>Указ вступает в силу со дня его официального опубликования.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B6702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0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6C66F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900</w:t>
            </w:r>
          </w:p>
          <w:p w:rsidR="0013602B" w:rsidRDefault="009F691A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705B"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учета ИТ-активов, используемых для осуществления деятельности по цифровой трансформации системы государственного (муниципального) управления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- 01.07.2024 (за исключением отдельных положений).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Правительством определен порядок учета ИТ-активов, используемых для осуществления деятельности по цифровой трансформации системы государственного (муниципального)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Утвержденное Положение устанавливает требования к формированию документированной систематизированной информации и обеспечению на ее основе учета ИТ-активов как элемента деятельности по цифровой трансформации системы государственного (муниципального) управления.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В качестве ИТ-активов документом определены информационные технологии, информационные системы, в том числе государственные и муниципальные информационные системы, компоненты информационно-телекоммуникационной инфраструктуры, информационно-телекоммуникационные сети, программные, программно-технические комплексы, отдельные программы для ЭВМ и оборудование, необходимые для реализации полномочий субъектов учета и обеспечения их деятельности по цифровой трансформации.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 xml:space="preserve">Субъекты учета (федеральные органы исполнительной власти, органы управления государственными внебюджетными фондами, органы государственной власти субъектов РФ, органы местного самоуправления, государственные корпорации и др.) обеспечивают ведение </w:t>
            </w:r>
            <w:r w:rsidRPr="001F7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учета ИТ-активов, для чего осуществляют размещение сведений об ИТ-активах в федеральной государственной информационной системе координации информатизации.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 xml:space="preserve">Учет ИТ-активов осуществляет </w:t>
            </w:r>
            <w:proofErr w:type="spellStart"/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Положение не применяется в отношении ИТ-активов, сведения о которых отнесены к сведениям, составляющим государственную тайну.</w:t>
            </w:r>
          </w:p>
          <w:p w:rsidR="001F705B" w:rsidRPr="00FA62A5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вступает в силу со дня его официального опубликования, за исключением положений, для которых предусмотрен иной срок их вступления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872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B559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1000FF" w:rsidRDefault="00B559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902</w:t>
            </w:r>
          </w:p>
          <w:p w:rsidR="00B55950" w:rsidRDefault="009F691A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705B"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предоставления субвенций из федерального бюджета бюджетам субъектов Российской Федерации, бюджетам федеральных территорий и бюджету г. Байконура для осуществления переданного полномочия Российской Федерации по осуществлению социальных выплат безработным гражданам и иным категориям граждан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- 10.07.2024.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Обновлен порядок предоставления субвенций для осуществления социальных выплат безработным гражданам и иным категориям граждан.</w:t>
            </w:r>
          </w:p>
          <w:p w:rsidR="001F705B" w:rsidRPr="001F705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Субвенции предоставляются бюджетам субъектов РФ, бюджетам федеральных территорий и бюджету г. Байконура на финансовое обеспечение переданного полномочия по осуществлению социальных выплат в виде: пособия по безработице; пенсии, назначаемой безработному гражданину по предложению службы занятости на период до наступления возраста, дающего право на страховую пенсию, в том числе назначаемую досрочно; ежемесячной доплаты детям-сиротам, детям, оставшимся без попечения родителей, лицам из числа детей-сирот и детей, оставшихся без попечения родителей.</w:t>
            </w:r>
          </w:p>
          <w:p w:rsidR="001F705B" w:rsidRPr="0013602B" w:rsidRDefault="001F705B" w:rsidP="001F70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 xml:space="preserve">Признаны утратившими силу некоторые акты Правительства, в </w:t>
            </w:r>
            <w:proofErr w:type="spellStart"/>
            <w:r w:rsidRPr="001F705B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1F705B">
              <w:rPr>
                <w:rFonts w:ascii="Times New Roman" w:hAnsi="Times New Roman" w:cs="Times New Roman"/>
                <w:sz w:val="28"/>
                <w:szCs w:val="28"/>
              </w:rPr>
              <w:t xml:space="preserve">. постановление от 22 января 2007 г. </w:t>
            </w:r>
            <w:r w:rsidR="00872B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F705B">
              <w:rPr>
                <w:rFonts w:ascii="Times New Roman" w:hAnsi="Times New Roman" w:cs="Times New Roman"/>
                <w:sz w:val="28"/>
                <w:szCs w:val="28"/>
              </w:rPr>
              <w:t xml:space="preserve"> 36, которым утверждены правила расходования и учета средств, предоставляемых в виде субвенций на осуществление переданных полномочий Российской Федерации в области содействия занятости населения.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6C66F7" w:rsidRDefault="00B6702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02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864B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4B2" w:rsidRPr="001000FF" w:rsidRDefault="00E864B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4B2" w:rsidRPr="00E864B2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03.07.2024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86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909</w:t>
            </w:r>
          </w:p>
          <w:p w:rsidR="00E864B2" w:rsidRDefault="009F691A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864B2" w:rsidRPr="00E86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декабря 2017 г.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864B2" w:rsidRPr="00E86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864B2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- 13.07.2024.</w:t>
            </w:r>
          </w:p>
          <w:p w:rsidR="00E864B2" w:rsidRPr="00E864B2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Правительством установлен порядок предоставления субсидий из федерального бюджета регионам на завершение строительства незавершенных объектов капитального строительства, включенных в федеральный реестр незавершенных объектов капитального строительства.</w:t>
            </w:r>
          </w:p>
          <w:p w:rsidR="00E864B2" w:rsidRPr="00E864B2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Соответствующими правилами дополнена государственная программа РФ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Обеспечение доступным и комфортным жильем и коммунальными услугами граждан Российской Федерации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64B2" w:rsidRPr="00E864B2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Критерием отбора субъектов РФ для предоставления субсидии является наличие незавершенного объекта капитального строительства в федеральном реестре, признанного таковым по основаниям, установл</w:t>
            </w:r>
            <w:r w:rsidR="00872B41">
              <w:rPr>
                <w:rFonts w:ascii="Times New Roman" w:hAnsi="Times New Roman" w:cs="Times New Roman"/>
                <w:sz w:val="28"/>
                <w:szCs w:val="28"/>
              </w:rPr>
              <w:t xml:space="preserve">енным статьей 55.34 </w:t>
            </w:r>
            <w:proofErr w:type="spellStart"/>
            <w:r w:rsidR="00872B41">
              <w:rPr>
                <w:rFonts w:ascii="Times New Roman" w:hAnsi="Times New Roman" w:cs="Times New Roman"/>
                <w:sz w:val="28"/>
                <w:szCs w:val="28"/>
              </w:rPr>
              <w:t>ГрК</w:t>
            </w:r>
            <w:proofErr w:type="spellEnd"/>
            <w:r w:rsidR="00872B41">
              <w:rPr>
                <w:rFonts w:ascii="Times New Roman" w:hAnsi="Times New Roman" w:cs="Times New Roman"/>
                <w:sz w:val="28"/>
                <w:szCs w:val="28"/>
              </w:rPr>
              <w:t xml:space="preserve"> РФ, и в 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 xml:space="preserve">отношении которого принято управленческое решение в соответствии с абзацем вторым подпункта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 xml:space="preserve"> пункта 1 постановления Правительства от 26 июля 2022 г. </w:t>
            </w:r>
            <w:r w:rsidR="00872B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 xml:space="preserve"> 1333.</w:t>
            </w:r>
          </w:p>
          <w:p w:rsidR="00E864B2" w:rsidRPr="001F705B" w:rsidRDefault="00E864B2" w:rsidP="00E864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4B2">
              <w:rPr>
                <w:rFonts w:ascii="Times New Roman" w:hAnsi="Times New Roman" w:cs="Times New Roman"/>
                <w:sz w:val="28"/>
                <w:szCs w:val="28"/>
              </w:rPr>
              <w:t>Отбор регионов для предоставления субсидий осуществляется на основании заявок высших исполнительных органов субъектов РФ (уполномоченных ими должностных лиц). Субсидии распределяются регионам в соответствующем финансовом году согласно заявкам и по каждому незавершенному объекту капитального строительства в порядке убывания коэффициента финансового обеспечения.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4B2" w:rsidRPr="00B6702F" w:rsidRDefault="00872B4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B4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F7C7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C73" w:rsidRPr="001000FF" w:rsidRDefault="007F7C7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C73" w:rsidRPr="007F7C73" w:rsidRDefault="007F7C73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C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04.07.2024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F7C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913</w:t>
            </w:r>
          </w:p>
          <w:p w:rsidR="007F7C73" w:rsidRDefault="009F691A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F7C73" w:rsidRPr="007F7C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10 мая 2018 г.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F7C73" w:rsidRPr="007F7C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F7C73" w:rsidRDefault="007F7C73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C7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- 13.07.2024.</w:t>
            </w:r>
          </w:p>
          <w:p w:rsidR="007F7C73" w:rsidRPr="007F7C73" w:rsidRDefault="007F7C73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C73">
              <w:rPr>
                <w:rFonts w:ascii="Times New Roman" w:hAnsi="Times New Roman" w:cs="Times New Roman"/>
                <w:sz w:val="28"/>
                <w:szCs w:val="28"/>
              </w:rPr>
              <w:t>Установлены предельные размеры платы, взимаемой операторами электронных площадок по результатам проведения электронной процедуры.</w:t>
            </w:r>
          </w:p>
          <w:p w:rsidR="007F7C73" w:rsidRPr="007F7C73" w:rsidRDefault="007F7C73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C73">
              <w:rPr>
                <w:rFonts w:ascii="Times New Roman" w:hAnsi="Times New Roman" w:cs="Times New Roman"/>
                <w:sz w:val="28"/>
                <w:szCs w:val="28"/>
              </w:rPr>
              <w:t xml:space="preserve">Приводятся в том числе размеры платы, взимаемой с субъектов МСП, СОНКО, физического лица, не являющегося ИП и применяющего специальный налоговый режим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F7C73"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F7C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7C73" w:rsidRPr="001F705B" w:rsidRDefault="007F7C73" w:rsidP="007F7C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C73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применяется к отношениям, связанным с осуществлением закупок товаров, работ, услуг для обеспечения государственных и муниципальных нужд,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C73" w:rsidRPr="00B6702F" w:rsidRDefault="00872B4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402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1000FF" w:rsidRDefault="000402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01.07.2024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1734-р</w:t>
            </w:r>
          </w:p>
          <w:p w:rsidR="007964BF" w:rsidRDefault="009F691A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7762"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мероприятий по реализации в 2024 - 2026 годах Основ государственной политики по сохранению и укреплению традиционных российских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духовно-нравственных ценностей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- 01.07.2024.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Утвержден план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ценностей.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В плане в числе прочего предусматривается: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образование советов по защите традиционных российских духовно-нравственных ценностей, культуры и исторической памяти при федеральных органах исполнительной власти, исполнительных органах субъектов РФ и органах местного самоуправления;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консолидацию российского общества в целях противодействия попыткам принизить значимость российской культуры, дискредитировать Русский мир, его традиции и идеалы;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поддержке проектов, направленных на продвижение традиционных ценностей в сети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, средствах массовой информации и книжной индустрии;</w:t>
            </w:r>
          </w:p>
          <w:p w:rsidR="00867762" w:rsidRPr="00040223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противодействию излишнему использованию иностранной лексики в публичном пространстве, произведениях литературы и искусства, средствах массовой информации, образовательной и просветительской деятельности, в наружной рекламе.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0247" w:rsidRPr="00015719" w:rsidTr="00F20247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27.04.2024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53н</w:t>
            </w:r>
          </w:p>
          <w:p w:rsidR="00F20247" w:rsidRPr="00F20247" w:rsidRDefault="009F691A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247"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Зарегистрировано в Минюсте России 03.07.2024 </w:t>
            </w:r>
            <w:r w:rsidR="009F69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78745.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Обновлен порядок проведения мониторинга результатов предоставления субсидий (в том числе грантов) производителям товаров, работ, услуг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Мониторинг проводится в отношении каждого события, отражающего факт завершения мероприятия по получению результата предоставления субсидии.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Мониторинг проводится главными распорядителями бюджетных средств, Минфином России, финансовыми органами субъекта РФ и муниципального образования.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В целях проведения мониторинга используются типы субсидий, типы результатов предоставления субсидий и соответствующие им типы специальных контрольных точек, приведенные в приложении к приказу.</w:t>
            </w:r>
          </w:p>
          <w:p w:rsidR="00F20247" w:rsidRPr="00867762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приказ Минфина России от 29.09.2021 </w:t>
            </w:r>
            <w:r w:rsidR="009F69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 xml:space="preserve"> 138н.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4D757C" w:rsidRDefault="009F69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056F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1000FF" w:rsidRDefault="005056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 от 01.07.2024 </w:t>
            </w:r>
            <w:r w:rsidR="00872B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БС-4-21/7396@</w:t>
            </w:r>
          </w:p>
          <w:p w:rsidR="005056F6" w:rsidRPr="00867762" w:rsidRDefault="009F691A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7762"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>О составе сведений в целях применения налоговых ставок по земельному налогу, установленных в соответствии с абзацами вторым - четвертым подпункта 1 пункта 1 статьи 394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67762" w:rsidRPr="00867762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>Направлены разъяснения Минфина об источниках сведений, касающихся целевого использования земельных участков, для целей применения налоговых ставок по земельному налогу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67762" w:rsidRPr="005056F6" w:rsidRDefault="00867762" w:rsidP="00867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762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числе прочего, что в целях применения налоговых ставок по земельному налогу в качестве источника сведений, подтверждающих неиспользование по целевому назначению земельного участка, предназначенного для сельхозпроизводства, а также использование земельного участка в предпринимательской деятельности, могут также рассматриваться: постановления по делам об административных правонарушениях; решения судов, вступившие в законную силу; представления об устранении причин и условий, способствовавших совершению административных правонарушений; предостережения о недопустимости нарушения обязательных требований; представления, постановления, предостережения, вынесенные органами прокуратуры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рамках прокурорского надзора.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4D757C" w:rsidRDefault="005056F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433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1000FF" w:rsidRDefault="00A5433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B41" w:rsidRDefault="00872B41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867762"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</w:p>
          <w:p w:rsidR="007964BF" w:rsidRDefault="009F691A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7762" w:rsidRPr="00867762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форм обоснований бюджетных ассигнований кодам классификации источников финансирования дефицита федерального бюджета на 2025 год и на плановый период 2026 и 2027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F18EB" w:rsidRPr="008F18EB" w:rsidRDefault="008F18EB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8EB">
              <w:rPr>
                <w:rFonts w:ascii="Times New Roman" w:hAnsi="Times New Roman" w:cs="Times New Roman"/>
                <w:sz w:val="28"/>
                <w:szCs w:val="28"/>
              </w:rPr>
              <w:t>Минфин России представил Таблицу соответствия форм обоснований бюджетных ассигнований кодам классификации источников финансирования дефицита федерального бюджета на 2025 год и на плановый период 2026 и 2027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024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1000FF" w:rsidRDefault="00F202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639663-8 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      </w:r>
            <w:r w:rsidR="009F69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(О внесении изменений в части первую и вторую Налогового кодекса Российской Федерации и отдельные законодательные акты Российской Федерации) (в части совершенствования налоговой системы) (текст ко второму чтению)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F2024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Ко второму чтению подготовлен законопроект о совершенствовании налоговой системы</w:t>
            </w: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247" w:rsidRP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В тексте законопроекта учтены поправки, предложенные по результатам его прочтения в первоначальной редакции.</w:t>
            </w:r>
          </w:p>
          <w:p w:rsidR="00F20247" w:rsidRDefault="00F20247" w:rsidP="00F202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247">
              <w:rPr>
                <w:rFonts w:ascii="Times New Roman" w:hAnsi="Times New Roman" w:cs="Times New Roman"/>
                <w:sz w:val="28"/>
                <w:szCs w:val="28"/>
              </w:rPr>
              <w:t>В частности, законопроект дополнен положениями, предусматривающими: продление налоговых преференций для организаций, осуществляющих деятельность в сфере IT и радиоэлектроники; введение туристического налога; корректировку формулировок законопроекта, касающихся освобождения от НДС налогоплательщиков, применяющих УСН; индексацию ставок акцизов; уточнение параметров НДПИ и многое другое.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247" w:rsidRPr="004D757C" w:rsidRDefault="009F69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</w:t>
            </w:r>
            <w:bookmarkStart w:id="0" w:name="_GoBack"/>
            <w:bookmarkEnd w:id="0"/>
            <w:r w:rsidRPr="009F691A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91A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F18EB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433E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B5B980A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F20C3-D8F2-4F1E-8702-D62184C2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9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13</cp:revision>
  <cp:lastPrinted>2022-12-29T03:26:00Z</cp:lastPrinted>
  <dcterms:created xsi:type="dcterms:W3CDTF">2024-05-13T07:13:00Z</dcterms:created>
  <dcterms:modified xsi:type="dcterms:W3CDTF">2024-07-10T05:21:00Z</dcterms:modified>
</cp:coreProperties>
</file>