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AE0E8E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6E5EE6" w:rsidP="006E5EE6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25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67475F">
              <w:rPr>
                <w:rFonts w:ascii="PT Astra Serif" w:hAnsi="PT Astra Serif" w:cs="Times New Roman"/>
                <w:b/>
                <w:sz w:val="26"/>
                <w:szCs w:val="26"/>
              </w:rPr>
              <w:t>5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F84D1B">
              <w:rPr>
                <w:rFonts w:ascii="PT Astra Serif" w:hAnsi="PT Astra Serif" w:cs="Times New Roman"/>
                <w:b/>
                <w:sz w:val="26"/>
                <w:szCs w:val="26"/>
              </w:rPr>
              <w:t>2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9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67475F">
              <w:rPr>
                <w:rFonts w:ascii="PT Astra Serif" w:hAnsi="PT Astra Serif" w:cs="Times New Roman"/>
                <w:b/>
                <w:sz w:val="26"/>
                <w:szCs w:val="26"/>
              </w:rPr>
              <w:t>5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A20B02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FF49B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Pr="00A20B02" w:rsidRDefault="00FF49B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A20B02">
              <w:rPr>
                <w:rFonts w:ascii="PT Astra Serif" w:hAnsi="PT Astra Serif" w:cs="Times New Roman"/>
                <w:b/>
                <w:sz w:val="26"/>
                <w:szCs w:val="26"/>
              </w:rPr>
              <w:t>Перечень поручений по итогам встречи с представителями муниципального сообщества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20B02">
              <w:rPr>
                <w:rFonts w:ascii="PT Astra Serif" w:hAnsi="PT Astra Serif" w:cs="Times New Roman"/>
                <w:b/>
                <w:sz w:val="26"/>
                <w:szCs w:val="26"/>
              </w:rPr>
              <w:t>(утв. Президентом РФ 30.05.2026)</w:t>
            </w:r>
          </w:p>
          <w:p w:rsidR="00FF49B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20B02">
              <w:rPr>
                <w:rFonts w:ascii="PT Astra Serif" w:hAnsi="PT Astra Serif" w:cs="Times New Roman"/>
                <w:sz w:val="26"/>
                <w:szCs w:val="26"/>
              </w:rPr>
              <w:t xml:space="preserve">Президент РФ </w:t>
            </w:r>
            <w:r w:rsidR="00FF49B2" w:rsidRPr="00FF49B2">
              <w:rPr>
                <w:rFonts w:ascii="PT Astra Serif" w:hAnsi="PT Astra Serif" w:cs="Times New Roman"/>
                <w:sz w:val="26"/>
                <w:szCs w:val="26"/>
              </w:rPr>
              <w:t>утвердил перечень поручений по итогам встречи с представителями муниципального сообщества, состоявшейся 21 апреля 2026 года.</w:t>
            </w:r>
          </w:p>
          <w:p w:rsidR="00A20B02" w:rsidRPr="00A20B02" w:rsidRDefault="00FF49B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П</w:t>
            </w:r>
            <w:r w:rsidR="00A20B02" w:rsidRPr="00A20B02">
              <w:rPr>
                <w:rFonts w:ascii="PT Astra Serif" w:hAnsi="PT Astra Serif" w:cs="Times New Roman"/>
                <w:sz w:val="26"/>
                <w:szCs w:val="26"/>
              </w:rPr>
              <w:t>оручено, в числе прочего:</w:t>
            </w:r>
          </w:p>
          <w:p w:rsidR="00A20B02" w:rsidRP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20B02">
              <w:rPr>
                <w:rFonts w:ascii="PT Astra Serif" w:hAnsi="PT Astra Serif" w:cs="Times New Roman"/>
                <w:sz w:val="26"/>
                <w:szCs w:val="26"/>
              </w:rPr>
              <w:t>рассмотреть вопрос об отнесении работ по капитальному ремонту объектов культурного наследия, не являющихся многоквартирными домами, к числу работ, на которые не распространяются требования к порядку проведения работ по сохранению объектов культурного наследия, при условии, что эти работы не затрагивают предмет охраны, не изменяют облик, объемно-планировочные и конструктивные решения и структуры, интерьер такого объекта культурного наследия, и при безусловном обеспечении физической сохранности и сохранении историко-культурной ценности такого объекта культурного наследия;</w:t>
            </w:r>
          </w:p>
          <w:p w:rsidR="00A20B02" w:rsidRP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20B02">
              <w:rPr>
                <w:rFonts w:ascii="PT Astra Serif" w:hAnsi="PT Astra Serif" w:cs="Times New Roman"/>
                <w:sz w:val="26"/>
                <w:szCs w:val="26"/>
              </w:rPr>
              <w:t>представить предложения о минимизации случаев привлечения к административной ответственности за неисполнение или ненадлежащее исполнение полномочий органов местного самоуправления глав муниципальных образований, глав местных администраций и иных должностных лиц местного самоуправления, если на исполнение таких полномочий бюджетные ассигнования не выделялись или выделялись в недостаточном размере;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i/>
                <w:sz w:val="26"/>
                <w:szCs w:val="26"/>
                <w:highlight w:val="yellow"/>
              </w:rPr>
            </w:pPr>
            <w:r w:rsidRPr="00A20B02">
              <w:rPr>
                <w:rFonts w:ascii="PT Astra Serif" w:hAnsi="PT Astra Serif" w:cs="Times New Roman"/>
                <w:sz w:val="26"/>
                <w:szCs w:val="26"/>
              </w:rPr>
              <w:t>расширить практику предоставления участникам специальной военной операции, членам их семей, членам семей погибших (умерших) участников специальной военной операции государственных (муниципальных) услуг в социальной сфере в рамках исполнения государственного (муниципального) социального заказа, в том числе в сферах образования, здравоохранения, физической культуры и спорта, туризма.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B4847" w:rsidRDefault="00A20B02" w:rsidP="00FF49B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FF49B2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A20B02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FF49B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Pr="00327E5B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27.05.2026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605</w:t>
            </w:r>
          </w:p>
          <w:p w:rsidR="00A20B02" w:rsidRDefault="00FF49B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Правил определения объема межбюджетного трансферта из федерального бюджета, предоставляемого бюджету Фонда пенсионного и социального страхования Российской Федерации в целях </w:t>
            </w:r>
            <w:proofErr w:type="spellStart"/>
            <w:r w:rsidR="00A20B02"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>софинансирования</w:t>
            </w:r>
            <w:proofErr w:type="spellEnd"/>
            <w:r w:rsidR="00A20B02"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расходных обязательств субъекта Российской Федерации по выплате региональной социальной доплаты к пенсии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20B02" w:rsidRDefault="00A20B02" w:rsidP="00A2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Начало действия документа - 29.05.2026 (за исключением отдельных положений).</w:t>
            </w:r>
          </w:p>
          <w:p w:rsidR="00FF49B2" w:rsidRPr="00FF49B2" w:rsidRDefault="00FF49B2" w:rsidP="00A2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F49B2">
              <w:rPr>
                <w:rFonts w:ascii="PT Astra Serif" w:hAnsi="PT Astra Serif" w:cs="Times New Roman"/>
                <w:sz w:val="26"/>
                <w:szCs w:val="26"/>
              </w:rPr>
              <w:t xml:space="preserve">Установлен порядок определения объема межбюджетного трансферта бюджету СФР на </w:t>
            </w:r>
            <w:proofErr w:type="spellStart"/>
            <w:r w:rsidRPr="00FF49B2">
              <w:rPr>
                <w:rFonts w:ascii="PT Astra Serif" w:hAnsi="PT Astra Serif" w:cs="Times New Roman"/>
                <w:sz w:val="26"/>
                <w:szCs w:val="26"/>
              </w:rPr>
              <w:t>софинансирование</w:t>
            </w:r>
            <w:proofErr w:type="spellEnd"/>
            <w:r w:rsidRPr="00FF49B2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 субъектов РФ по выплате региональной социальной доплаты к пенсии.</w:t>
            </w:r>
          </w:p>
          <w:p w:rsidR="00A20B02" w:rsidRPr="00FF49B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F49B2">
              <w:rPr>
                <w:rFonts w:ascii="PT Astra Serif" w:hAnsi="PT Astra Serif" w:cs="Times New Roman"/>
                <w:sz w:val="26"/>
                <w:szCs w:val="26"/>
              </w:rPr>
              <w:t>Критериями отбора субъектов РФ для определения объема межбюджетного трансферта являются:</w:t>
            </w:r>
          </w:p>
          <w:p w:rsidR="00A20B02" w:rsidRPr="00FF49B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F49B2">
              <w:rPr>
                <w:rFonts w:ascii="PT Astra Serif" w:hAnsi="PT Astra Serif" w:cs="Times New Roman"/>
                <w:sz w:val="26"/>
                <w:szCs w:val="26"/>
              </w:rPr>
              <w:t>превышение установленной в субъекте РФ величины прожиточного минимума пенсионера над величиной прожиточного минимума пенсионера в целом по РФ;</w:t>
            </w:r>
          </w:p>
          <w:p w:rsidR="00A20B02" w:rsidRPr="00FF49B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F49B2">
              <w:rPr>
                <w:rFonts w:ascii="PT Astra Serif" w:hAnsi="PT Astra Serif" w:cs="Times New Roman"/>
                <w:sz w:val="26"/>
                <w:szCs w:val="26"/>
              </w:rPr>
              <w:t>отсутствие двукратного превышения уровня расчетной бюджетной обеспеченности субъекта РФ по отношению к среднему по РФ уровню расчетной бюджетной обеспеченности.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F49B2">
              <w:rPr>
                <w:rFonts w:ascii="PT Astra Serif" w:hAnsi="PT Astra Serif" w:cs="Times New Roman"/>
                <w:sz w:val="26"/>
                <w:szCs w:val="26"/>
              </w:rPr>
              <w:t xml:space="preserve">Объем межбюджетного трансферта из федерального бюджета на выплату региональной социальной доплаты к пенсии в субъекте РФ определяется по утвержденной формуле, с учетом, в частности, числа получателей региональной социальной доплаты к пенсии, предельного уровня </w:t>
            </w:r>
            <w:proofErr w:type="spellStart"/>
            <w:r w:rsidRPr="00FF49B2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FF49B2">
              <w:rPr>
                <w:rFonts w:ascii="PT Astra Serif" w:hAnsi="PT Astra Serif" w:cs="Times New Roman"/>
                <w:sz w:val="26"/>
                <w:szCs w:val="26"/>
              </w:rPr>
              <w:t xml:space="preserve"> расходного обязательства субъекта РФ и объема дополнительных расходов на выплату региональной социальной доплаты</w:t>
            </w:r>
            <w:r w:rsidR="00FF49B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FF49B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F49B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FF49B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28.05.2026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616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26 декабря 2019 г.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1846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- 06.06.2026.</w:t>
            </w:r>
          </w:p>
          <w:p w:rsidR="00A20B02" w:rsidRPr="00FF49B2" w:rsidRDefault="00FF49B2" w:rsidP="00FF49B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F49B2">
              <w:rPr>
                <w:rFonts w:ascii="PT Astra Serif" w:hAnsi="PT Astra Serif" w:cs="Times New Roman"/>
                <w:sz w:val="26"/>
                <w:szCs w:val="26"/>
              </w:rPr>
              <w:t>Утверж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дены</w:t>
            </w:r>
            <w:r w:rsidR="00A20B02" w:rsidRPr="00FF49B2">
              <w:rPr>
                <w:rFonts w:ascii="PT Astra Serif" w:hAnsi="PT Astra Serif" w:cs="Times New Roman"/>
                <w:sz w:val="26"/>
                <w:szCs w:val="26"/>
              </w:rPr>
              <w:t xml:space="preserve"> изменения, которые вносятся в Положение об использовании бюджетных ассигнований резервного фонда Правительства Российской Федерации, утвержденное постановлением Правительства Российской Федерации от 26 декабря 2019 г. </w:t>
            </w:r>
            <w:r w:rsidRPr="00FF49B2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A20B02" w:rsidRPr="00FF49B2">
              <w:rPr>
                <w:rFonts w:ascii="PT Astra Serif" w:hAnsi="PT Astra Serif" w:cs="Times New Roman"/>
                <w:sz w:val="26"/>
                <w:szCs w:val="26"/>
              </w:rPr>
              <w:t xml:space="preserve"> 1846 </w:t>
            </w:r>
            <w:r w:rsidRPr="00FF49B2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A20B02" w:rsidRPr="00FF49B2">
              <w:rPr>
                <w:rFonts w:ascii="PT Astra Serif" w:hAnsi="PT Astra Serif" w:cs="Times New Roman"/>
                <w:sz w:val="26"/>
                <w:szCs w:val="26"/>
              </w:rPr>
              <w:t>Об утверждении Положения об использовании бюджетных ассигнований резервного фонда Правительства Российской Федерации</w:t>
            </w:r>
            <w:r w:rsidRPr="00FF49B2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FF49B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FF49B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FF49B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  <w:r w:rsidR="00A20B02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28.05.2026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620</w:t>
            </w:r>
          </w:p>
          <w:p w:rsidR="00A20B02" w:rsidRDefault="00FF49B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Правил предоставления работникам дополнительного выходного дня с сохранением среднего заработка, отпуска без сохранения заработной платы до 5 календарных дней при чрезвычайных ситуациях природного и техногенного характера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>Срок действия документа ограничен 1 сентября 2032 года.</w:t>
            </w:r>
          </w:p>
          <w:p w:rsidR="00FF49B2" w:rsidRPr="00FF49B2" w:rsidRDefault="00FF49B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F49B2">
              <w:rPr>
                <w:rFonts w:ascii="PT Astra Serif" w:hAnsi="PT Astra Serif" w:cs="Times New Roman"/>
                <w:sz w:val="26"/>
                <w:szCs w:val="26"/>
              </w:rPr>
              <w:t>Установлен порядок предоставления работникам дополнительного выходного дня и отпуска без сохранения заработной платы при чрезвычайных ситуациях природного и техногенного характера.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706A4">
              <w:rPr>
                <w:rFonts w:ascii="PT Astra Serif" w:hAnsi="PT Astra Serif" w:cs="Times New Roman"/>
                <w:sz w:val="26"/>
                <w:szCs w:val="26"/>
              </w:rPr>
              <w:t>Работнику в случае установления фактов его проживания в жилом помещении, находящемся в зоне чрезвычайной ситуации, нарушения условий его жизнедеятельности и утраты им имущества в результате чрезвычайной ситуации федерального, межрегионального, регионального, межмуниципального или муниципального характера предоставляются: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706A4">
              <w:rPr>
                <w:rFonts w:ascii="PT Astra Serif" w:hAnsi="PT Astra Serif" w:cs="Times New Roman"/>
                <w:sz w:val="26"/>
                <w:szCs w:val="26"/>
              </w:rPr>
              <w:t>по его письменному заявлению о предоставлении дополнительного выходного дня - дополнительный выходной день с сохранением среднего заработка;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706A4">
              <w:rPr>
                <w:rFonts w:ascii="PT Astra Serif" w:hAnsi="PT Astra Serif" w:cs="Times New Roman"/>
                <w:sz w:val="26"/>
                <w:szCs w:val="26"/>
              </w:rPr>
              <w:t>по его письменному заявлению о предоставлении отпуска без сохранения заработной платы - отпуск без сохранения заработной платы до 5 календарных дней.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706A4">
              <w:rPr>
                <w:rFonts w:ascii="PT Astra Serif" w:hAnsi="PT Astra Serif" w:cs="Times New Roman"/>
                <w:sz w:val="26"/>
                <w:szCs w:val="26"/>
              </w:rPr>
              <w:t>Закреплено, что дополнительный оплачиваемый выходной день должен быть предоставлен в течение 10 календарных дней со дня подачи заявления о его предоставлении, а отпуск без сохранения заработной платы - в течение 20 календарных дней со дня подачи заявления о его предоставлении.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0706A4">
              <w:rPr>
                <w:rFonts w:ascii="PT Astra Serif" w:hAnsi="PT Astra Serif" w:cs="Times New Roman"/>
                <w:sz w:val="26"/>
                <w:szCs w:val="26"/>
              </w:rPr>
              <w:t>Настоящее постановление вступает в силу с 1 сентября 2026 года и действует до 1 сентября 2032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B4847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772E7C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</w:t>
            </w:r>
            <w:r w:rsidR="00A20B0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29.05.2026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629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4 марта 2020 г.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227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27E5B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- 06.06.2026.</w:t>
            </w:r>
          </w:p>
          <w:p w:rsidR="00A20B02" w:rsidRPr="00772E7C" w:rsidRDefault="00772E7C" w:rsidP="00772E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>Утверждены</w:t>
            </w:r>
            <w:r w:rsidR="00A20B02"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 изменения, которые вносятся в приложение к Правилам проведения оценки долговой устойчивости субъектов Российской Федерации, утвержденным постановлением Правительства Российской Федерации от 4 марта 2020 г. </w:t>
            </w:r>
            <w:r w:rsidR="00FF49B2" w:rsidRPr="00772E7C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A20B02"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 227 </w:t>
            </w:r>
            <w:r w:rsidR="00FF49B2" w:rsidRPr="00772E7C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A20B02" w:rsidRPr="00772E7C">
              <w:rPr>
                <w:rFonts w:ascii="PT Astra Serif" w:hAnsi="PT Astra Serif" w:cs="Times New Roman"/>
                <w:sz w:val="26"/>
                <w:szCs w:val="26"/>
              </w:rPr>
              <w:t>Об утверждении Правил проведения оценки долговой устойчивости субъектов Российской Федерации</w:t>
            </w:r>
            <w:r w:rsidR="00FF49B2" w:rsidRPr="00772E7C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A20B02" w:rsidRPr="00772E7C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146CF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A20B02" w:rsidRPr="003A4F4D" w:rsidTr="00607A8F">
        <w:trPr>
          <w:trHeight w:val="312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772E7C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6.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P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20B02">
              <w:rPr>
                <w:rFonts w:ascii="PT Astra Serif" w:hAnsi="PT Astra Serif" w:cs="Times New Roman"/>
                <w:b/>
                <w:sz w:val="26"/>
                <w:szCs w:val="26"/>
              </w:rPr>
              <w:t>Постановление Правительства Российской Федерации от 1 июня 2026 г. № 673</w:t>
            </w:r>
          </w:p>
          <w:p w:rsidR="00A20B02" w:rsidRDefault="00FF49B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A20B02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постановление Правительства Российской Федерации от 30 сентября 2022 г. № 1729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20B02" w:rsidRDefault="00607A8F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Начало действия документа - </w:t>
            </w:r>
            <w:r w:rsidR="00A20B02" w:rsidRPr="00A20B02">
              <w:rPr>
                <w:rFonts w:ascii="PT Astra Serif" w:hAnsi="PT Astra Serif" w:cs="Times New Roman"/>
                <w:b/>
                <w:sz w:val="26"/>
                <w:szCs w:val="26"/>
              </w:rPr>
              <w:t>02.06.2026.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>Продление сроков проведения в 2026 г. плановой процедуры подтверждения ИТ-аккредитации и другое: уточнены правила аккредитации ИТ-компаний</w:t>
            </w:r>
            <w:r w:rsidR="00772E7C" w:rsidRPr="00772E7C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>Внесены изменения в Положение о государственной аккредитации российских организаций, осуществляющих деятельность в области информационных технологий, утв. постановлением Правительства РФ от 30.09.2022 № 1729.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Комментируя поправки, </w:t>
            </w:r>
            <w:proofErr w:type="spellStart"/>
            <w:r w:rsidRPr="00772E7C">
              <w:rPr>
                <w:rFonts w:ascii="PT Astra Serif" w:hAnsi="PT Astra Serif" w:cs="Times New Roman"/>
                <w:sz w:val="26"/>
                <w:szCs w:val="26"/>
              </w:rPr>
              <w:t>Минцифры</w:t>
            </w:r>
            <w:proofErr w:type="spellEnd"/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 обращает внимание на два главных новшества: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1) Для компаний с </w:t>
            </w:r>
            <w:proofErr w:type="spellStart"/>
            <w:r w:rsidRPr="00772E7C">
              <w:rPr>
                <w:rFonts w:ascii="PT Astra Serif" w:hAnsi="PT Astra Serif" w:cs="Times New Roman"/>
                <w:sz w:val="26"/>
                <w:szCs w:val="26"/>
              </w:rPr>
              <w:t>госучастием</w:t>
            </w:r>
            <w:proofErr w:type="spellEnd"/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 уточнены критерии получения ИТ-аккредитации, а также установлены критерии применения ими пониженных страховых взносов. Получить ИТ-аккредитацию смогут: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>- разработчики ПО и ПАК для ГИС;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- участники особо значимых проектов в сфере </w:t>
            </w:r>
            <w:proofErr w:type="spellStart"/>
            <w:r w:rsidRPr="00772E7C">
              <w:rPr>
                <w:rFonts w:ascii="PT Astra Serif" w:hAnsi="PT Astra Serif" w:cs="Times New Roman"/>
                <w:sz w:val="26"/>
                <w:szCs w:val="26"/>
              </w:rPr>
              <w:t>цифровизации</w:t>
            </w:r>
            <w:proofErr w:type="spellEnd"/>
            <w:r w:rsidRPr="00772E7C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>- правообладатели российских программ из перечня для предустановки;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>- разработчики ПО и ПАК для объектов КИИ.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>2) Продлены сроки проведения плановой процедуры подтверждения для всех ИТ-компаний в 2026 году.</w:t>
            </w:r>
          </w:p>
          <w:p w:rsidR="00A20B02" w:rsidRPr="00772E7C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Предельный срок подачи организациями заявлений о подтверждении ИТ-аккредитации сдвинут с 1 июня на 1 июля 2026 г. </w:t>
            </w:r>
            <w:proofErr w:type="spellStart"/>
            <w:r w:rsidRPr="00772E7C">
              <w:rPr>
                <w:rFonts w:ascii="PT Astra Serif" w:hAnsi="PT Astra Serif" w:cs="Times New Roman"/>
                <w:sz w:val="26"/>
                <w:szCs w:val="26"/>
              </w:rPr>
              <w:t>Минцифры</w:t>
            </w:r>
            <w:proofErr w:type="spellEnd"/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 проверит поданные аккредитованными организациями заявления до 1 сентября. Решение о прохождении процедуры подтверждения аккредитации компания получит в личный кабинет на </w:t>
            </w:r>
            <w:r w:rsidR="00FF49B2" w:rsidRPr="00772E7C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proofErr w:type="spellStart"/>
            <w:r w:rsidRPr="00772E7C">
              <w:rPr>
                <w:rFonts w:ascii="PT Astra Serif" w:hAnsi="PT Astra Serif" w:cs="Times New Roman"/>
                <w:sz w:val="26"/>
                <w:szCs w:val="26"/>
              </w:rPr>
              <w:t>Госуслугах</w:t>
            </w:r>
            <w:proofErr w:type="spellEnd"/>
            <w:r w:rsidR="00FF49B2" w:rsidRPr="00772E7C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772E7C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20B02" w:rsidRPr="00A20B02" w:rsidRDefault="00607A8F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Кроме того,</w:t>
            </w:r>
            <w:r w:rsidR="00A20B02"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 согласно действующим положениям, дополнительно к образовательным соглашениям, обеспечить наличие которых обязаны ИТ-компании, соответствующие определенным условиям, могут быть заключены соглашение с государственной (муниципальной) профессиональной образовательной организацией и (или) соглашение с исполнительным органом субъекта РФ, осуществляющим государственное управление в сфере образования. Поправками предусмотрена возможность заключения дополнительно к образовательным соглашениям также соглашения с НКО, зарегистрированной в соответствии с российским законодательством, предметом которого является осуществление пожертвования в целях повышения уровня знаний, умений, навыков и компетенций обучающихся и педагогических работников в области производства и эксплуатации беспилотных, автономных и интеллектуальных систем на базе образовательных организаций, реализующих образовательные программы СПО, в том числе материально-технического обеспечения таких образовательных организаций для указанного повышения уровня знаний, умений, навыков и компетенций.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146CF" w:rsidRDefault="00772E7C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A20B02" w:rsidRPr="003A4F4D" w:rsidTr="00DD1BC9">
        <w:trPr>
          <w:trHeight w:val="9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607A8F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7</w:t>
            </w:r>
            <w:r w:rsidR="00A20B02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413FF4" w:rsidRDefault="00607A8F" w:rsidP="00A2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</w:t>
            </w:r>
            <w:r w:rsidR="00FF49B2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="00A20B02" w:rsidRPr="00413FF4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Рекомендации по организации наставничества в сфере труда</w:t>
            </w:r>
            <w:r w:rsidR="00FF49B2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A20B02" w:rsidRDefault="00A20B02" w:rsidP="00A2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413FF4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(утв. решением Российской трехсторонней комиссии по регулированию социально-трудовых отношений от 22.04.2026, протокол </w:t>
            </w:r>
            <w:r w:rsidR="00FF49B2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413FF4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4пр)</w:t>
            </w:r>
          </w:p>
          <w:p w:rsidR="00607A8F" w:rsidRPr="00607A8F" w:rsidRDefault="00607A8F" w:rsidP="00A2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607A8F">
              <w:rPr>
                <w:rFonts w:ascii="PT Astra Serif" w:hAnsi="PT Astra Serif" w:cs="PT Astra Serif"/>
                <w:bCs/>
                <w:sz w:val="26"/>
                <w:szCs w:val="26"/>
              </w:rPr>
              <w:t>Разработаны рекомендации по организации наставничества в сфере труда.</w:t>
            </w:r>
          </w:p>
          <w:p w:rsidR="00A20B02" w:rsidRPr="00327E5B" w:rsidRDefault="00A20B02" w:rsidP="00A20B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  <w:highlight w:val="yellow"/>
              </w:rPr>
            </w:pPr>
            <w:r w:rsidRPr="00607A8F">
              <w:rPr>
                <w:rFonts w:ascii="PT Astra Serif" w:hAnsi="PT Astra Serif" w:cs="PT Astra Serif"/>
                <w:bCs/>
                <w:sz w:val="26"/>
                <w:szCs w:val="26"/>
              </w:rPr>
              <w:t>Рекомендации ориентированы на работодателей (руководителей различных уровней, кадровые службы) и наставников, профессиональные союзы и их объединения, объединения работодателей, органы государственной власти и местного самоуправления в отношении подведомственных учреждений и курируемых сфер деятельности, на образовательные организации, преподавателей, занимающихся разработкой и реализацией программ обучения наставников, а также на некоммерческие и общественные организации, занимающиеся развитием и популяризацией наставничества.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B4847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607A8F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8</w:t>
            </w:r>
            <w:r w:rsidR="00A20B0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Pr="00615E87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Минтруда России от 12.05.2026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204н</w:t>
            </w:r>
          </w:p>
          <w:p w:rsidR="00A20B02" w:rsidRPr="00615E87" w:rsidRDefault="00FF49B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приложение к приказу Министерства труда и социальной защиты Российской Федерации от 16 апреля 2024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A20B02"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195н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форм предоставления работодателями обязательной информации, предусмотренной частью 1 статьи 53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>О занятости населения 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A20B02"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>, в государственную службу занятости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27.05.2026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86670.</w:t>
            </w:r>
          </w:p>
          <w:p w:rsidR="00607A8F" w:rsidRPr="00607A8F" w:rsidRDefault="00607A8F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Обновлена форма предоставления работодателями информации о выполнении квоты для приема на работу инвалидов.</w:t>
            </w:r>
          </w:p>
          <w:p w:rsidR="00A20B02" w:rsidRPr="00607A8F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В новой редакции изложена форма 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 7, предусмотренная приложением к приказу Минтруда России от 16 апреля 2024 г. 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 195н.</w:t>
            </w:r>
          </w:p>
          <w:p w:rsidR="00A20B02" w:rsidRPr="00607A8F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Форма заполняется в случае, если численность работников непосредственно в организации (филиале, представительстве, ином обособленном структурном подразделении), у индивидуального предпринимателя более 35 человек.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Приказ вступает в силу с 1 сентября 2026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B4847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607A8F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9</w:t>
            </w:r>
            <w:r w:rsidR="00A20B0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Pr="00615E87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Минфина России от 21.05.2026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02-11-09/42908</w:t>
            </w:r>
          </w:p>
          <w:p w:rsidR="00A20B02" w:rsidRDefault="00607A8F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кодах бюджетной классификации, соответствующих закупкам, указанным в пункте 11 Положения о мерах по обеспечению исполнения федерального бюджета, утв. Постановлением Правительства РФ от 09.12.2017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A20B02" w:rsidRPr="00615E8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1496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07A8F" w:rsidRPr="00607A8F" w:rsidRDefault="00607A8F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Минфином направлена информация о кодах бюджетной классификации, соответствующих закупкам, указанным в пункте 11 Положения о мерах по обеспечению исполнения федерального бюджета.</w:t>
            </w:r>
          </w:p>
          <w:p w:rsidR="00A20B02" w:rsidRPr="00607A8F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Пунктом 11 Положения 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 1496 установлен перечень закупок товаров, выполнения работ, оказания услуг, на которые не распространяются нормы, предусмотренные пунктом 10 Положения 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 1496 о сроке принятия бюджетных обязательств, государственные контракты по которым могут быть заключены после 1 июня текущего финансового года.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В приложении к настоящему письму приведены коды бюджетной классификации, соответствующие таким закупкам.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A20B02" w:rsidP="00607A8F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</w:t>
            </w:r>
            <w:r w:rsidR="00607A8F">
              <w:rPr>
                <w:rFonts w:ascii="PT Astra Serif" w:hAnsi="PT Astra Serif" w:cs="Times New Roman"/>
                <w:sz w:val="26"/>
                <w:szCs w:val="26"/>
              </w:rPr>
              <w:t>0.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17.03.2026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КЧ-36-8/1991@</w:t>
            </w:r>
          </w:p>
          <w:p w:rsidR="00A20B02" w:rsidRDefault="00FF49B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>О привлечении банков (кредитных организаций) к ответственности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07A8F" w:rsidRPr="00607A8F" w:rsidRDefault="00607A8F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Разъяснен порядок исполнения банком платежных документов для расчетов по оплате труда в случае приостановления операций по счетам налогоплательщика.</w:t>
            </w:r>
          </w:p>
          <w:p w:rsidR="00A20B02" w:rsidRPr="00607A8F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В письме приведены условия, при одновременном соблюдении которых действия банка в виде проведения платежей по оплате труда по счетам налогоплательщика не образуют объективную сторону правонарушения, предусмотренного статьей 134 НК РФ:</w:t>
            </w:r>
          </w:p>
          <w:p w:rsidR="00A20B02" w:rsidRPr="00607A8F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поступление платежного документа в банк ранее поручения налогового органа на списание и перечисление денежных средств в бюджетную систему;</w:t>
            </w:r>
          </w:p>
          <w:p w:rsidR="00A20B02" w:rsidRPr="00607A8F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соблюдение календарной очередности, установленной пунктом 2 статьи 855 ГК РФ;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действительное отнесение предъявленных платежей к расходам по оплате труда.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C71A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B3380E" w:rsidRDefault="00A20B02" w:rsidP="00607A8F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</w:t>
            </w:r>
            <w:r w:rsidR="00607A8F">
              <w:rPr>
                <w:rFonts w:ascii="PT Astra Serif" w:hAnsi="PT Astra Serif" w:cs="Times New Roman"/>
                <w:sz w:val="26"/>
                <w:szCs w:val="26"/>
              </w:rPr>
              <w:t>1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25.05.2026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БС-36-21/4346@</w:t>
            </w:r>
          </w:p>
          <w:p w:rsidR="00A20B02" w:rsidRDefault="00FF49B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20B02"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тематическом обзоре Верховного Суда Российской Федерации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A20B02" w:rsidRPr="000706A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3/2026 по вопросам налогообложения имущества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07A8F" w:rsidRPr="00607A8F" w:rsidRDefault="00607A8F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Налогообложение имущества: ключевые тезисы Обзора ВС РФ № 3/2026.</w:t>
            </w:r>
          </w:p>
          <w:p w:rsidR="00A20B02" w:rsidRPr="00607A8F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ФНС информирует об опубликовании на сайте Верховного Суда РФ тематического обзора 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 3/2026, утвержденного постановлением Президиума Верховного Суда РФ от 25.03.2026 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 4А/2026.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В письме ФНС приведены основные выводы, основанные на правовых позициях Верховного Суда РФ, сформулированных по результатам рассмотрения налоговых споров по вопросам, относящимся к налогообложению имущества.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B4847" w:rsidRDefault="00A20B0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607A8F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12.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20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Минфина России от 29.05.2026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20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23-06-07/45703 </w:t>
            </w:r>
            <w:r w:rsidR="00607A8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A20B0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формировании информации о доходах бюджетов субъектов Российской Федерации в Перечне источников доходов Российской Федерации в государственной интегрированной информационной системе управления общественными финансами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A20B02">
              <w:rPr>
                <w:rFonts w:ascii="PT Astra Serif" w:hAnsi="PT Astra Serif" w:cs="Times New Roman"/>
                <w:b/>
                <w:sz w:val="26"/>
                <w:szCs w:val="26"/>
              </w:rPr>
              <w:t>Электронный бюджет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20B02" w:rsidRPr="00607A8F" w:rsidRDefault="00A20B02" w:rsidP="00607A8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Министерство финансов Российской Федерации по вопросу формирования информации о доходах бюджетов субъектов Российской Федерации в Перечне источников доходов Российской Федерации в государственной интегрированной информационной системе управления общественными финансами 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 в целях обеспечения реализации положений постановления Правительства Российской Федерации от 31 августа 2016 г. 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 868 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О порядке формирования и ведения перечня источников доходов Российской Федерации</w:t>
            </w:r>
            <w:r w:rsidR="00FF49B2" w:rsidRPr="00607A8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607A8F">
              <w:rPr>
                <w:rFonts w:ascii="PT Astra Serif" w:hAnsi="PT Astra Serif" w:cs="Times New Roman"/>
                <w:sz w:val="26"/>
                <w:szCs w:val="26"/>
              </w:rPr>
              <w:t xml:space="preserve"> и в связи с завершением основной части технических доработок в Перечне направляет информацию об организации работы по формированию такой информации.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607A8F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Default="00607A8F" w:rsidP="00A20B02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13.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B02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13FF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13FF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1208563-8 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413FF4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статьи 196 и 217 части первой Гражданского кодекса Российской Федерации</w:t>
            </w:r>
            <w:r w:rsidR="00FF49B2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413FF4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(текст ко второму чтению)</w:t>
            </w:r>
          </w:p>
          <w:p w:rsidR="00607A8F" w:rsidRDefault="00607A8F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b/>
                <w:sz w:val="26"/>
                <w:szCs w:val="26"/>
              </w:rPr>
              <w:t>Ко второму чтению подготовлен законопроект о сроках исковой давности по спорам о приватизации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</w:p>
          <w:p w:rsidR="00607A8F" w:rsidRPr="00413FF4" w:rsidRDefault="00607A8F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b/>
                <w:sz w:val="26"/>
                <w:szCs w:val="26"/>
              </w:rPr>
              <w:t>Внесен Правительством РФ.</w:t>
            </w:r>
          </w:p>
          <w:p w:rsidR="00A20B02" w:rsidRPr="00607A8F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Законопроектом статья 217 ГК РФ дополняется положением о том, что в случае применения гражданско-правовых последствий нарушения требований законодательства при приватизации государственного и муниципального имущества подлежат применению установленные ГК РФ сроки исковой давности и правила их исчисления (три года с момента выявления нарушения).</w:t>
            </w:r>
          </w:p>
          <w:p w:rsidR="00A20B02" w:rsidRPr="00607A8F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При этом планируется закрепить, что срок исковой давности по искам об истребовании имущества, выбывшего из владения РФ, субъектов РФ и муниципальных образований в результате его приватизации, а также по искам о применении иных гражданско-правовых последствий нарушения требований законодательства о приватизации во всяком случае не может превышать десять лет со дня нарушения права.</w:t>
            </w:r>
          </w:p>
          <w:p w:rsidR="00A20B02" w:rsidRPr="000706A4" w:rsidRDefault="00A20B02" w:rsidP="00A20B0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Суд откажет в удовлетворении требования Российской Федерации, субъектов РФ и муниципальных образований об истребовании приватизированного имущества, если после выбытия имущества из владения публично-правовых образований истекло десять лет со дня нарушения права.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C1583B" w:rsidRDefault="00607A8F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607A8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2C668F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A8F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1C8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87464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42E8F"/>
    <w:rsid w:val="00344425"/>
    <w:rsid w:val="00351759"/>
    <w:rsid w:val="00353097"/>
    <w:rsid w:val="00363CBF"/>
    <w:rsid w:val="00370B91"/>
    <w:rsid w:val="00370E28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43483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A08A3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B02"/>
    <w:rsid w:val="00A20FDA"/>
    <w:rsid w:val="00A2339B"/>
    <w:rsid w:val="00A305BA"/>
    <w:rsid w:val="00A306E0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2A33"/>
    <w:rsid w:val="00BC5607"/>
    <w:rsid w:val="00BC64D3"/>
    <w:rsid w:val="00BC6BA2"/>
    <w:rsid w:val="00BD1176"/>
    <w:rsid w:val="00BD6178"/>
    <w:rsid w:val="00BD6EE0"/>
    <w:rsid w:val="00BE0D9F"/>
    <w:rsid w:val="00BF53AE"/>
    <w:rsid w:val="00BF5F96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A7643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1BC9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4D1B"/>
    <w:rsid w:val="00F92616"/>
    <w:rsid w:val="00FA62A5"/>
    <w:rsid w:val="00FB0938"/>
    <w:rsid w:val="00FB1384"/>
    <w:rsid w:val="00FB3EB4"/>
    <w:rsid w:val="00FB499E"/>
    <w:rsid w:val="00FC29D7"/>
    <w:rsid w:val="00FC2A03"/>
    <w:rsid w:val="00FC5DEB"/>
    <w:rsid w:val="00FD4AD1"/>
    <w:rsid w:val="00FD662C"/>
    <w:rsid w:val="00FE28A6"/>
    <w:rsid w:val="00FE390E"/>
    <w:rsid w:val="00FE62A7"/>
    <w:rsid w:val="00FE76F8"/>
    <w:rsid w:val="00FF2234"/>
    <w:rsid w:val="00FF49B2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4:docId w14:val="74ADCAF6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F3C70-A8FB-4953-AF3F-44355269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2249</Words>
  <Characters>12821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6</cp:revision>
  <cp:lastPrinted>2025-12-11T07:34:00Z</cp:lastPrinted>
  <dcterms:created xsi:type="dcterms:W3CDTF">2026-06-03T09:38:00Z</dcterms:created>
  <dcterms:modified xsi:type="dcterms:W3CDTF">2026-06-04T04:16:00Z</dcterms:modified>
</cp:coreProperties>
</file>