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333"/>
        <w:gridCol w:w="2268"/>
      </w:tblGrid>
      <w:tr w:rsidR="00945C8B" w:rsidRPr="003A4F4D" w:rsidTr="00670F71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8E230B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12.01.2026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16.01.2026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296AF7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296AF7">
              <w:rPr>
                <w:rFonts w:ascii="PT Astra Serif" w:hAnsi="PT Astra Serif" w:cs="Times New Roman"/>
                <w:b/>
                <w:sz w:val="18"/>
                <w:szCs w:val="1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3A4F4D" w:rsidRPr="003A4F4D" w:rsidTr="00670F71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3C7" w:rsidRDefault="00462894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6289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Конституционного Суда РФ от 15.01.2026 </w:t>
            </w:r>
            <w:r w:rsidR="00F803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1-П </w:t>
            </w:r>
          </w:p>
          <w:p w:rsidR="003A4F4D" w:rsidRDefault="00F803C7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62894" w:rsidRPr="00462894">
              <w:rPr>
                <w:rFonts w:ascii="PT Astra Serif" w:hAnsi="PT Astra Serif" w:cs="Times New Roman"/>
                <w:b/>
                <w:sz w:val="26"/>
                <w:szCs w:val="26"/>
              </w:rPr>
              <w:t>По делу о проверке конституционности пункта 2 статьи 214.10 Налогового кодекса Российской Федерации и пункта 2 статьи 567 Гражданского кодекса Российской Федерации в связи с жалобой гражданки Селюковой Любови Александровны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Не соответствующими Конституции признаны положения НК РФ, допускающие произвольное решение вопроса об определении облагаемого НДФЛ дохода по договору мены объектов недвижимого имущества</w:t>
            </w:r>
            <w:r w:rsidRPr="001262CA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Согласно материалам дела принадлежащий заявительнице земельный участок она обменяла по договору мены на земельный участок той же категории с меньшей кадастровой стоимостью. По условиям договора участки признавались равноценными, обмен производился без каких-либо доплат.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Налоговый орган привлек заявительницу к налоговой ответственности с начислением недоимки по НДФЛ. При этом доход заявительницы на основании пункта 2 статьи 214.10 НК РФ был определен исходя из кадастровой стоимости отчужденного земельного участка, умноженной на понижающий коэффициент 0,7.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КС РФ указал, в частности, что как таковое приобретение налогоплательщиком недвижимого имущества по договору мены не свидетельствует безусловно о получении им экономической выгоды от сделки.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Налоговые обязательства при совершении указанных сделок без достаточных оснований определяются по правилам налогообложения дохода от сделок купли-продажи, т.е. в соответствии с пунктом 2 статьи 214.10 НК РФ во взаимосвязи с пунктом 2 статьи 567 ГК РФ. Вследствие этого налогоплательщики оказываются вынужденными уплачивать подоходный налог, исчисленный, по сути, исходя из их имущественных потерь.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Также КС РФ отметил, что не могут игнорироваться содержащиеся в статье 41 НК РФ положения, позволяющие в случае опровержения равноценности (эквивалентности) совершенной мены установить подлежащую налогообложению экономическую выгоду налогоплательщика с учетом кадастровой стоимости приобретенного им недвижимого имущества и ее превышения над кадастровой стоимостью имущества отчужденного.</w:t>
            </w:r>
          </w:p>
          <w:p w:rsidR="001262CA" w:rsidRPr="003A4F4D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В связи с имеющейся правовой неопределенностью федеральному законодателю надлежит внести в НК РФ вытекающие из настоящего Постановления изменения в части правового регулирования обложения НДФЛ полученных по договору мены недвижимого имущества доходов физических лиц, не осуществляющих предпринимательскую деятельность.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F803C7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62779" w:rsidRPr="003A4F4D" w:rsidTr="00670F71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779" w:rsidRPr="003A4F4D" w:rsidRDefault="00C62779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3C7" w:rsidRDefault="001262CA" w:rsidP="00C627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сообщение Минфина России от 16.01.2026 </w:t>
            </w:r>
            <w:r w:rsidR="00F803C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262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ИС-аудит-86 </w:t>
            </w:r>
          </w:p>
          <w:p w:rsidR="00C62779" w:rsidRDefault="00F803C7" w:rsidP="00C627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262CA" w:rsidRPr="001262CA">
              <w:rPr>
                <w:rFonts w:ascii="PT Astra Serif" w:hAnsi="PT Astra Serif" w:cs="Times New Roman"/>
                <w:b/>
                <w:sz w:val="26"/>
                <w:szCs w:val="26"/>
              </w:rPr>
              <w:t>Опубликован Перечень случаев обязательного аудита бухгалтерской (финансовой) отчетности за 2025 г.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Минфин информирует об утверждении Перечня случаев обязательного аудита бухгалтерской (финансовой) отчетности за 2025 год</w:t>
            </w:r>
            <w:r w:rsidRPr="001262CA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262CA" w:rsidRPr="001262CA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Для каждого случая в Перечне приведены норма законодательства, которой установлена обязанность проводить аудит, и вид отчетности, подлежащей обязательному аудиту.</w:t>
            </w:r>
          </w:p>
          <w:p w:rsidR="001262CA" w:rsidRPr="003A4F4D" w:rsidRDefault="001262CA" w:rsidP="001262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262CA">
              <w:rPr>
                <w:rFonts w:ascii="PT Astra Serif" w:hAnsi="PT Astra Serif" w:cs="Times New Roman"/>
                <w:sz w:val="26"/>
                <w:szCs w:val="26"/>
              </w:rPr>
              <w:t xml:space="preserve">Обращено внимание на норму Федерального закона 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262CA">
              <w:rPr>
                <w:rFonts w:ascii="PT Astra Serif" w:hAnsi="PT Astra Serif" w:cs="Times New Roman"/>
                <w:sz w:val="26"/>
                <w:szCs w:val="26"/>
              </w:rPr>
              <w:t>Об аудиторской деятельности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262CA">
              <w:rPr>
                <w:rFonts w:ascii="PT Astra Serif" w:hAnsi="PT Astra Serif" w:cs="Times New Roman"/>
                <w:sz w:val="26"/>
                <w:szCs w:val="26"/>
              </w:rPr>
              <w:t>, согласно которой обязательный аудит проводится в случае, если отчетность освобождена от него по одному из оснований, предусмотренных федеральными законами, но подлежит обязательному аудиту по иному основанию, предусмотренному федеральными законами.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779" w:rsidRPr="003A4F4D" w:rsidRDefault="00621FD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1144C" w:rsidRPr="003A4F4D" w:rsidTr="00670F71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Pr="003A4F4D" w:rsidRDefault="00D1144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44C" w:rsidRPr="00D1144C" w:rsidRDefault="00F803C7" w:rsidP="00D1144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1144C"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>Перечень случаев проведения обязательного аудита бухгалтерской (финансовой) отчетности за 2025 год (согласно законодательству Российской Федерации)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1144C" w:rsidRDefault="00D1144C" w:rsidP="00D1144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>(утв. Минфином России)</w:t>
            </w:r>
          </w:p>
          <w:p w:rsidR="00F803C7" w:rsidRPr="00F803C7" w:rsidRDefault="00F803C7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Минфином утвержден перечень случаев проведения обязательного аудита отчетности за 2025 год</w:t>
            </w:r>
            <w:r w:rsidRPr="00F803C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803C7" w:rsidRPr="00F803C7" w:rsidRDefault="00F803C7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Перечень учитывает изменения в законодательстве, принятые в 2025 году.</w:t>
            </w:r>
          </w:p>
          <w:p w:rsidR="00F803C7" w:rsidRPr="001262CA" w:rsidRDefault="00F803C7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Сообщается об организациях, которые вправе проводить обязательный аудит отчетности за 2025 год, а также приведены категории организаций, проведение аудита отчетности которых является обязательным в силу федеральных законов, указан вид отчетности, подлежащий аудиту.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Default="00F803C7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670F71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3C7" w:rsidRDefault="00D1144C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F803C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938737-8 </w:t>
            </w:r>
          </w:p>
          <w:p w:rsidR="003A4F4D" w:rsidRDefault="00F803C7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1144C"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статью 166.1 Бюджетного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D1144C"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принятая ГД ФС РФ в I чтении 14.01.2026)</w:t>
            </w:r>
          </w:p>
          <w:p w:rsidR="00D1144C" w:rsidRDefault="00D1144C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D1144C" w:rsidRPr="00D1144C" w:rsidRDefault="00D1144C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sz w:val="26"/>
                <w:szCs w:val="26"/>
              </w:rPr>
              <w:t>Законопроектом предлагается для обеспечения исполнения обязательств перед застрахованными лицами по отражению на индивидуальных лицевых счетах дохода от размещения средств страховых взносов на финансирование накопительной пенсии использовать резерв Фонда пенсионного и социального страхования Российской Федерации (далее - Фонд) по обязательному пенсионному страхованию. Использование резерва предусматривается в случае превышения сумм возвратов страхователю излишне уплаченных им в предшествующих периодах страховых взносов над объемом, поступивших страховых взносов на финансирование накопительной пенсии. С учетом этого также предусматривается исключение сумм страховых взносов на финансирование накопительной пенсии, уплаченных страхователем в отчетном квартале в отношении застрахованного лица и не поступивших в бюджет Фонда в связи с возвратом (зачетом) страхователям сумм излишне уплаченных указанных страховых взносов, из сумм страховых взносов на финансирование накопительной пенсии, которые подлежат размещению в порядке, установленном Бюджетным кодексом Российской Федерации.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670F71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D1144C" w:rsidRDefault="00D1144C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F803C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941942-8 </w:t>
            </w:r>
            <w:r w:rsidR="00F803C7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статью 346.5 части второй Налогового кодекса Российской Федерации</w:t>
            </w:r>
            <w:r w:rsidR="00F803C7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принятая ГД ФС РФ в I чтении 13.01.2026)</w:t>
            </w:r>
          </w:p>
          <w:p w:rsidR="00D1144C" w:rsidRPr="00D1144C" w:rsidRDefault="00D1144C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b/>
                <w:sz w:val="26"/>
                <w:szCs w:val="26"/>
              </w:rPr>
              <w:t>Внесен Законодательным Собранием Ростовской области.</w:t>
            </w:r>
          </w:p>
          <w:p w:rsidR="00D1144C" w:rsidRPr="003A4F4D" w:rsidRDefault="00D1144C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1144C">
              <w:rPr>
                <w:rFonts w:ascii="PT Astra Serif" w:hAnsi="PT Astra Serif" w:cs="Times New Roman"/>
                <w:sz w:val="26"/>
                <w:szCs w:val="26"/>
              </w:rPr>
              <w:t xml:space="preserve">В целях приведения к единообразию терминологии, содержащейся в федеральном законодательстве, законопроектом предлагается внести редакционные изменения в положения подпункта 29 пункта 2 статьи 346.5 части второй Налогового кодекса Российской Федерации в части замены словосочетания 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1144C">
              <w:rPr>
                <w:rFonts w:ascii="PT Astra Serif" w:hAnsi="PT Astra Serif" w:cs="Times New Roman"/>
                <w:sz w:val="26"/>
                <w:szCs w:val="26"/>
              </w:rPr>
              <w:t>по специальности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1144C">
              <w:rPr>
                <w:rFonts w:ascii="PT Astra Serif" w:hAnsi="PT Astra Serif" w:cs="Times New Roman"/>
                <w:sz w:val="26"/>
                <w:szCs w:val="26"/>
              </w:rPr>
              <w:t xml:space="preserve"> формулировкой 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1144C">
              <w:rPr>
                <w:rFonts w:ascii="PT Astra Serif" w:hAnsi="PT Astra Serif" w:cs="Times New Roman"/>
                <w:sz w:val="26"/>
                <w:szCs w:val="26"/>
              </w:rPr>
              <w:t>в соответствии с полученной квалификацией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1144C">
              <w:rPr>
                <w:rFonts w:ascii="PT Astra Serif" w:hAnsi="PT Astra Serif" w:cs="Times New Roman"/>
                <w:sz w:val="26"/>
                <w:szCs w:val="26"/>
              </w:rPr>
              <w:t xml:space="preserve">, которая используется в настоящее время в Федеральном законе 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1144C">
              <w:rPr>
                <w:rFonts w:ascii="PT Astra Serif" w:hAnsi="PT Astra Serif" w:cs="Times New Roman"/>
                <w:sz w:val="26"/>
                <w:szCs w:val="26"/>
              </w:rPr>
              <w:t>Об образовании в Российской Федерации</w:t>
            </w:r>
            <w:r w:rsidR="00F803C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1144C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3C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03D29253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B48DB-32DD-4D2A-B74C-9BDD5C43C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8</cp:revision>
  <cp:lastPrinted>2025-12-11T07:34:00Z</cp:lastPrinted>
  <dcterms:created xsi:type="dcterms:W3CDTF">2025-12-11T04:33:00Z</dcterms:created>
  <dcterms:modified xsi:type="dcterms:W3CDTF">2026-01-21T07:26:00Z</dcterms:modified>
</cp:coreProperties>
</file>