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736FC2" w:rsidP="00736FC2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13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100B39"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100B39"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100B39"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B6136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36" w:rsidRPr="00F8367F" w:rsidRDefault="00DB613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817</w:t>
            </w:r>
          </w:p>
          <w:p w:rsidR="00DB6136" w:rsidRDefault="00531D81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B6136"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07507" w:rsidRDefault="00C07507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- 01.07.2026.</w:t>
            </w:r>
          </w:p>
          <w:p w:rsidR="00531D81" w:rsidRPr="00531D81" w:rsidRDefault="00531D81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Ряд актов Правительства, регулирующих порядок проведения торгов на право заключения договоров или на право осуществления определенной деятельности, приведен в соответствие с действующим законодательством.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Реализованы положения Федерального закона от 29 декабря 2025 года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577-ФЗ, которым, в частности, определены особенности проведения электронных торгов и исключается взимание платы операторами электронной площадки за участие в электронных торгах.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Корреспондирующие изменения внесены в том числе в: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Положение об организации и проведении продажи государственного или муниципального имущества в электронной форме, утвержденное постановлением Правительства от 27 августа 2012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860;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постановление Правительства от 10 сентября 2012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909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Об определении официального сайта Российской Федерации в информационно-телекоммуникационной сети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для размещения информации о проведении торгов и внесении изменений в некоторые акты Правительства Российской Федерации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постановление Правительства от 15 мая 2014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450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Об утверждении Правил организации и проведения торгов (конкурсов, аукционов) на право заключения договора пользования рыбоводным участком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Правила проведения торгов (аукциона, конкурса) на получение лицензии на оказание услуг связи, утвержденные постановлением Правительства от 24 мая 2014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480;</w:t>
            </w:r>
          </w:p>
          <w:p w:rsidR="00DB6136" w:rsidRPr="00C07507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постановление Правительства от 28 августа 2019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1113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Об аукционе в электронной форме по продаже права на заключение договора о закреплении и предоставлении доли квоты добычи (вылова) крабов, предоставленной в инвестиционных целях в области рыболовства, для осуществления промышленного рыболовства и (или) прибрежного рыболовства и заключении такого договора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DB6136" w:rsidRPr="00DB6136" w:rsidRDefault="00C758DB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="00DB6136" w:rsidRPr="00C07507">
              <w:rPr>
                <w:rFonts w:ascii="PT Astra Serif" w:hAnsi="PT Astra Serif" w:cs="Times New Roman"/>
                <w:sz w:val="26"/>
                <w:szCs w:val="26"/>
              </w:rPr>
              <w:t>остановление вступает в силу с 1 июля 2026 года. Его действие не распространяется на торги, решения о проведении которых приняты до 1 июля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36" w:rsidRPr="00D86150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07507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507" w:rsidRPr="00F8367F" w:rsidRDefault="00C0750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13.07.2026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875</w:t>
            </w:r>
          </w:p>
          <w:p w:rsidR="00C07507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Правил проведения Федеральным казначейством контрольного мониторинга и инициирования </w:t>
            </w:r>
            <w:proofErr w:type="spellStart"/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взаимосогласительной</w:t>
            </w:r>
            <w:proofErr w:type="spellEnd"/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процедуры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- 22.07.2026.</w:t>
            </w:r>
          </w:p>
          <w:p w:rsidR="00C758DB" w:rsidRPr="00C758DB" w:rsidRDefault="00C758DB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 xml:space="preserve">Правительство утвердило правила, устанавливающие порядок и случаи проведения Федеральным казначейством контрольного мониторинга и порядок инициирования </w:t>
            </w:r>
            <w:proofErr w:type="spellStart"/>
            <w:r w:rsidRPr="00C758DB">
              <w:rPr>
                <w:rFonts w:ascii="PT Astra Serif" w:hAnsi="PT Astra Serif" w:cs="Times New Roman"/>
                <w:sz w:val="26"/>
                <w:szCs w:val="26"/>
              </w:rPr>
              <w:t>взаимосогласительной</w:t>
            </w:r>
            <w:proofErr w:type="spellEnd"/>
            <w:r w:rsidRPr="00C758DB">
              <w:rPr>
                <w:rFonts w:ascii="PT Astra Serif" w:hAnsi="PT Astra Serif" w:cs="Times New Roman"/>
                <w:sz w:val="26"/>
                <w:szCs w:val="26"/>
              </w:rPr>
              <w:t xml:space="preserve"> процедуры.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Контрольный мониторинг проводится в целях осуществления внутреннего государственного финансового контроля в отношении выполнения объектом контроля положений правовых актов, условий договоров (соглашений), государственных (муниципальных) контрактов </w:t>
            </w:r>
            <w:proofErr w:type="gramStart"/>
            <w:r w:rsidRPr="00C07507">
              <w:rPr>
                <w:rFonts w:ascii="PT Astra Serif" w:hAnsi="PT Astra Serif" w:cs="Times New Roman"/>
                <w:sz w:val="26"/>
                <w:szCs w:val="26"/>
              </w:rPr>
              <w:t>в ходе</w:t>
            </w:r>
            <w:proofErr w:type="gramEnd"/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проведения которого Федеральным казначейством составляются мотивированные мнения, подлежащие исполнению объектом контроля.</w:t>
            </w:r>
          </w:p>
          <w:p w:rsidR="00C07507" w:rsidRPr="00DB6136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Контрольный мониторинг проводится в случаях его инициирования объектом контроля или Федеральным казначейством, в том числе на основании данного Федеральному казначейству поручения Президента РФ или Правительства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507" w:rsidRPr="00D86150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B1B53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B53" w:rsidRP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13.07.2026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881</w:t>
            </w:r>
          </w:p>
          <w:p w:rsidR="005B1B53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B1B53"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23 декабря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5B1B53"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1875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- 22.07.2026.</w:t>
            </w:r>
          </w:p>
          <w:p w:rsidR="00531D81" w:rsidRPr="00531D81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Расширена номенклатура отдельных видов иностранных товаров, в отношении которых устанавливаются запрет, ограничение закупок, а также минимальная обязательная доля закупок российских товаров по Закону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223-ФЗ.</w:t>
            </w:r>
          </w:p>
          <w:p w:rsidR="005B1B53" w:rsidRPr="00DB6136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Перечни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лицами, в отношении которых устанавливаются запрет и ограничение закупок для обеспечения государственных и муниципальных нужд, закупок отдельными видами юридических лиц, и перечень товаров, в отношении которых устанавливается минимальная обязательная доля закупок товаров российского происхождения при осуществлении закупок в соответствии с Федеральным законом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О закупках товаров, работ, услуг отдельными видами юридических лиц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>, дополнены позициями электротехнической продукции.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D86150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B1B53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D81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15.07.2026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893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11 ноября 2023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1896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Целевые суб</w:t>
            </w:r>
            <w:r w:rsidR="00C758DB">
              <w:rPr>
                <w:rFonts w:ascii="PT Astra Serif" w:hAnsi="PT Astra Serif" w:cs="Times New Roman"/>
                <w:sz w:val="26"/>
                <w:szCs w:val="26"/>
              </w:rPr>
              <w:t>сидии из федерального бюджета: П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р</w:t>
            </w:r>
            <w:r w:rsidR="00C758DB">
              <w:rPr>
                <w:rFonts w:ascii="PT Astra Serif" w:hAnsi="PT Astra Serif" w:cs="Times New Roman"/>
                <w:sz w:val="26"/>
                <w:szCs w:val="26"/>
              </w:rPr>
              <w:t>авительство добавило новые цели.</w:t>
            </w:r>
          </w:p>
          <w:p w:rsidR="005B1B53" w:rsidRPr="00DB6136" w:rsidRDefault="005B1B53" w:rsidP="00C758D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Скорректировали Правила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1896</w:t>
            </w:r>
            <w:r w:rsidR="00C758DB">
              <w:rPr>
                <w:rFonts w:ascii="PT Astra Serif" w:hAnsi="PT Astra Serif" w:cs="Times New Roman"/>
                <w:sz w:val="26"/>
                <w:szCs w:val="26"/>
              </w:rPr>
              <w:t>, утвержденные п</w:t>
            </w:r>
            <w:r w:rsidR="00531D81" w:rsidRPr="00531D81">
              <w:rPr>
                <w:rFonts w:ascii="PT Astra Serif" w:hAnsi="PT Astra Serif" w:cs="Times New Roman"/>
                <w:sz w:val="26"/>
                <w:szCs w:val="26"/>
              </w:rPr>
              <w:t>остановление</w:t>
            </w:r>
            <w:r w:rsidR="00C758DB">
              <w:rPr>
                <w:rFonts w:ascii="PT Astra Serif" w:hAnsi="PT Astra Serif" w:cs="Times New Roman"/>
                <w:sz w:val="26"/>
                <w:szCs w:val="26"/>
              </w:rPr>
              <w:t xml:space="preserve">м Правительства РФ от 11.11.2023. 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Так, с 1 сентября 2026 года бюджетные и автономные учреждения смогут получать субсидии на создание и развитие государственных и иных </w:t>
            </w:r>
            <w:proofErr w:type="spellStart"/>
            <w:r w:rsidRPr="00531D81">
              <w:rPr>
                <w:rFonts w:ascii="PT Astra Serif" w:hAnsi="PT Astra Serif" w:cs="Times New Roman"/>
                <w:sz w:val="26"/>
                <w:szCs w:val="26"/>
              </w:rPr>
              <w:t>информсистем</w:t>
            </w:r>
            <w:proofErr w:type="spellEnd"/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, если реализуют полномочия госоргана в этой части. Кроме того, за счет таких субсидий можно будет проводить расходы на эксплуатацию </w:t>
            </w:r>
            <w:proofErr w:type="spellStart"/>
            <w:r w:rsidRPr="00531D81">
              <w:rPr>
                <w:rFonts w:ascii="PT Astra Serif" w:hAnsi="PT Astra Serif" w:cs="Times New Roman"/>
                <w:sz w:val="26"/>
                <w:szCs w:val="26"/>
              </w:rPr>
              <w:t>информсистем</w:t>
            </w:r>
            <w:proofErr w:type="spellEnd"/>
            <w:r w:rsidRPr="00531D81">
              <w:rPr>
                <w:rFonts w:ascii="PT Astra Serif" w:hAnsi="PT Astra Serif" w:cs="Times New Roman"/>
                <w:sz w:val="26"/>
                <w:szCs w:val="26"/>
              </w:rPr>
              <w:t>. В этом случае госорган должен выступать учредителем учреждения.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D86150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5B78DD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F8367F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17.07.2026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902</w:t>
            </w:r>
          </w:p>
          <w:p w:rsidR="00DB6136" w:rsidRDefault="00531D81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B6136"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26 июня 2015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DB6136"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640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- 25.07.2026.</w:t>
            </w:r>
          </w:p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Скорректировано Положение о формировании государственного задания на оказание государственных услуг (выполнение работ) в отношении федеральных государственных учреждений и финансовом обеспечении выполнения государственного задания.</w:t>
            </w:r>
          </w:p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Установлено, что научные темы научных исследований (разработок), срок реализации которых начинается в плановом периоде, не включаются в </w:t>
            </w: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госзадание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при его формировании на очередной финансовый год и плановый период.</w:t>
            </w:r>
          </w:p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Уточнен порядок заполнения </w:t>
            </w: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госзадания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и отчета о его выполнении.</w:t>
            </w:r>
          </w:p>
          <w:p w:rsidR="005B78DD" w:rsidRPr="00104C1F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Предусмотрено, что Положение в редакции настоящего постановления применяется при формировании </w:t>
            </w: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госзадания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на оказание </w:t>
            </w: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(выполнение работ) начиная с </w:t>
            </w: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госзадания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на 2027 год и на плановый период 2028 и 2029 годов.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4C71A7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104C1F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8367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09.07.2026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1776-р</w:t>
            </w:r>
          </w:p>
          <w:p w:rsid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распоряжение Правительства РФ от 18.09.2019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2113-р</w:t>
            </w:r>
          </w:p>
          <w:p w:rsid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- 09.07.2026.</w:t>
            </w:r>
          </w:p>
          <w:p w:rsidR="00DB6136" w:rsidRPr="00DB6136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Дополнен перечень типовых государственных и муниципальных услуг, предоставляемых исполнительными органами субъектов РФ, госучреждениями субъектов РФ и муниципальными учреждениями, а также органами МСУ</w:t>
            </w:r>
            <w:r w:rsidR="00C758D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04C1F" w:rsidRPr="003339CF" w:rsidRDefault="00DB6136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В указанный перечень включены услуги по назначению выплат на приобретение или строительство жилого помещения взамен утраченного либо на осуществление капремонта поврежденного жилого помещения в результате ЧС природного и техногенного характера, а также в результате терактов и (или) при пресечении терактов правомерными действиями.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4C71A7" w:rsidRDefault="0019050C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DB6136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9A2EF0" w:rsidRPr="003A4F4D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Pr="00F8367F" w:rsidRDefault="009A2EF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09.07.2026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1779-р</w:t>
            </w:r>
          </w:p>
          <w:p w:rsid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стратегического направления в области цифровой трансформации государственного управления и признании утратившим силу Распоряжения Правительства РФ от 16.03.2024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637-р</w:t>
            </w:r>
          </w:p>
          <w:p w:rsid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- 09.07.2026.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Актуализировано стратегическое направление в области цифровой трансформации государственного управления.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Стратегическое направление предусматривает, в частности: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переход на отечественные коммуникационные сервисы работников органов государственной власти РФ до 100 процентов к 2030 году;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автоматизацию и упрощение работы федеральных органов исполнительной власти в части межведомственного взаимодействия и организации типовых процессов;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повышение уровня защищенности сервисов государственного служащего;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импортозамещение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и снижение </w:t>
            </w:r>
            <w:proofErr w:type="spellStart"/>
            <w:r w:rsidRPr="00DB6136">
              <w:rPr>
                <w:rFonts w:ascii="PT Astra Serif" w:hAnsi="PT Astra Serif" w:cs="Times New Roman"/>
                <w:sz w:val="26"/>
                <w:szCs w:val="26"/>
              </w:rPr>
              <w:t>санкционных</w:t>
            </w:r>
            <w:proofErr w:type="spellEnd"/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рисков;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переход на электронный документооборот органов местного самоуправления, государственных и муниципальных учреждений до 100 процентов к 2030 году;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достижение 100 процентов охвата организаций бюджетной сферы федерального, регионального и муниципального уровней, представляющих данные бухгалтерского учета в модуль сбора данных системы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B6136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B6136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системах, обеспечивающих основные производственные и управленческие процессы;</w:t>
            </w:r>
          </w:p>
          <w:p w:rsidR="00DB6136" w:rsidRPr="00DB6136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>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РФ в совокупности превышает 50 процентов, а также в их аффилированных юридических лицах.</w:t>
            </w:r>
          </w:p>
          <w:p w:rsidR="009A2EF0" w:rsidRPr="00D86150" w:rsidRDefault="00DB6136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Признается утратившим силу аналогичное распоряжение Правительства от 16 марта 2024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B6136">
              <w:rPr>
                <w:rFonts w:ascii="PT Astra Serif" w:hAnsi="PT Astra Serif" w:cs="Times New Roman"/>
                <w:sz w:val="26"/>
                <w:szCs w:val="26"/>
              </w:rPr>
              <w:t xml:space="preserve"> 637-р.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Default="00D86150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8615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C758DB">
        <w:trPr>
          <w:trHeight w:val="1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F8367F" w:rsidRDefault="00A20B0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C07507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Рекомендации для работодателей по разработке карьерных траекторий для работников в возрасте старше 50 лет, в том числе на основе программ профессиональной переподготовки или повышения квалификации, включая освоение ими цифровых навыков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(утв. решением Российской трехсторонней комиссии по регулированию социально-трудовых отношений, протокол от 26.06.2026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6пр)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Работодателям рекомендуется формировать корпоративную политику, направленную на поддержку работников в возрасте старше 50 лет.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Настоящие Рекомендации подготовлены с целью содействия работодателям в разработке мер по привлечению и удержанию, а также по поддержке работников старшего возраста и включают в себя общие положения, принципы, направления и практические шаги по формированию карьерных траекторий.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При разработке карьерных траекторий для работников в возрасте старше 50 лет следует формировать комплекс мероприятий с учетом мер государственной политики, направленной на поддержание занятости, активное долголетие и предоставление социальной поддержки лицам </w:t>
            </w:r>
            <w:proofErr w:type="spellStart"/>
            <w:r w:rsidRPr="00C07507">
              <w:rPr>
                <w:rFonts w:ascii="PT Astra Serif" w:hAnsi="PT Astra Serif" w:cs="Times New Roman"/>
                <w:sz w:val="26"/>
                <w:szCs w:val="26"/>
              </w:rPr>
              <w:t>предпенсионного</w:t>
            </w:r>
            <w:proofErr w:type="spellEnd"/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возраста.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Рекомендации адресованы руководителям организаций, специалистам служб управления персоналом, членам кадровых комиссий, представителям профсоюзных организаций, а также иным лицам, участвующим в разработке и реализации кадровой политики в отношении работников старшего возраста.</w:t>
            </w:r>
          </w:p>
          <w:p w:rsidR="00A20B02" w:rsidRPr="00FF5850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Мероприятия, предусмотренные Рекомендациями, могут использоваться для разработки или уточнения собственных мер кадровой политики организациями всех форм собственности и отраслевой принадлежности, а также закрепляться в коллективных договорах, соглашениях, локальных нормативных актах, программах развития персонала и иных документах.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772E7C" w:rsidP="00C0750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C07507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531D8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Pr="00F8367F" w:rsidRDefault="00531D81" w:rsidP="00531D8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D81" w:rsidRPr="005B1B53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Казначейства России от 17.04.2026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9н</w:t>
            </w:r>
          </w:p>
          <w:p w:rsidR="00531D81" w:rsidRPr="005B1B53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Правила формирования номера счета бухгалтерского учета, а также порядок внесения изменений в Рабочий план счетов централизованного бухгалтерского учета в рамках единой учетной политики при централизации учета, утвержденные приказом Федерального казначейства от 7 мая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15.07.2026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87492.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Внесено уточнение в правила формирования номера счета бухгалтерского учета для ведения бюджетного учета субъектов централизованного учета.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Положения Правил актуализированы в связи с принятием новых нормативных актов в сфере бухгалтерского учета государственных финансов.</w:t>
            </w:r>
          </w:p>
          <w:p w:rsidR="00531D81" w:rsidRPr="00C07507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в частности, внесено дополнение, устанавливающее порядок осуществления аналитического учета по группам видов обеспечений, предоставляемым согласно законодательству РФ о налогах и сборах, а также уточнен порядок применения счета 29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Представленные субсидии на приобретение жилья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Pr="00364242" w:rsidRDefault="00531D81" w:rsidP="00531D8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531D8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Pr="00F8367F" w:rsidRDefault="00531D81" w:rsidP="00531D8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D81" w:rsidRPr="004B01DF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Минтруда России от 23.03.2026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119</w:t>
            </w:r>
          </w:p>
          <w:p w:rsid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рекомендуемых форм заявки (дополнительной заявки) на перечисление субсидии из федерального бюджета бюджету субъекта Российской Федерации на </w:t>
            </w:r>
            <w:proofErr w:type="spellStart"/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>софинансирование</w:t>
            </w:r>
            <w:proofErr w:type="spellEnd"/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расходных обязательств субъекта Российской Федерации, возникающих при реализации региональной программы по повышению рождаемости, и прогноза кассовых выплат по субсидии, а также сроков их представления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Обновлены рекомендуемая форма заявки (дополнительной заявки) на перечисление субсидии бюджету субъекта РФ на </w:t>
            </w:r>
            <w:proofErr w:type="spellStart"/>
            <w:r w:rsidRPr="00531D81">
              <w:rPr>
                <w:rFonts w:ascii="PT Astra Serif" w:hAnsi="PT Astra Serif" w:cs="Times New Roman"/>
                <w:sz w:val="26"/>
                <w:szCs w:val="26"/>
              </w:rPr>
              <w:t>софинансирование</w:t>
            </w:r>
            <w:proofErr w:type="spellEnd"/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региональной программы по повышению рождаемости, а также форма прогноза кассовых выплат по перечислению данной субсидии.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Определены сроки представления в Минтруд России данных форм документов: ежемесячно, до 20-го числа месяца, предшествующего месяцу перечисления субсидии.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Уполномоченному исполнительному органу субъекта РФ рекомендовано: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осуществлять мониторинг исполнения прогноза кассовых выплат по перечислению субсидии;</w:t>
            </w:r>
          </w:p>
          <w:p w:rsidR="00531D81" w:rsidRPr="00531D81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размещать информацию, оформленную по рекомендуемым формам, в программно-информационном комплексе Минтруда России в соответствии с установленными настоящим приказом сроками.</w:t>
            </w:r>
          </w:p>
          <w:p w:rsidR="00531D81" w:rsidRPr="004B01DF" w:rsidRDefault="00531D81" w:rsidP="00531D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Признан утратившим силу приказ Минтруда России от 26 декабря 2025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741.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Default="00C758DB" w:rsidP="00531D8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7515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Pr="00F8367F" w:rsidRDefault="00B75152" w:rsidP="00B7515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10.07.2026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БС-36-21/5878@</w:t>
            </w:r>
          </w:p>
          <w:p w:rsidR="00C07507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Об уплате транспортного налога при изменении места нахождения российской организации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Pr="00531D81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 случае изменения места нахождения организации транспортный налог уплачивается по новому месту начиная с 1-го числа месяца, следующего за месяцем, в котором произошли изменения.</w:t>
            </w:r>
          </w:p>
          <w:p w:rsidR="00C07507" w:rsidRPr="00531D81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ФНС доведены разъяснения Минфина об уплате транспортного налога при изменении места нахождения российской организации.</w:t>
            </w:r>
          </w:p>
          <w:p w:rsidR="00B75152" w:rsidRPr="00F46B32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Разъяснения основаны на положениях подпункта 2 пункта 5 статьи 83 и пункта 3.6 статьи 362 НК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Pr="00364242" w:rsidRDefault="00B75152" w:rsidP="00B7515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B1B5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B7515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B53" w:rsidRP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14.07.2026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02-05-07/60801</w:t>
            </w:r>
          </w:p>
          <w:p w:rsid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Приказе Минфина России от 10.06.2026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74н</w:t>
            </w:r>
          </w:p>
          <w:p w:rsidR="00531D81" w:rsidRPr="00531D81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Минфин информирует о необходимости обновления реестровых записей перечня главных администраторов доходов федерального бюджета по новым кодам классификации.</w:t>
            </w:r>
          </w:p>
          <w:p w:rsidR="005B1B53" w:rsidRPr="00C07507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Необходимость обновления ранее сформированных реестровых записей связана с утверждением кодов классификации доходов бюджетов, в том числе новых КБК для отражения возвратов остатков межбюджетных трансфертов прошлых лет и поступления указанных средств в бюджеты бюджетной системы Российской Федерации (приказ от 10 июня 2026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74н).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364242" w:rsidRDefault="00C758DB" w:rsidP="00B7515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7515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Pr="00F8367F" w:rsidRDefault="00B75152" w:rsidP="00B7515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Информационное сообщение Минфина России</w:t>
            </w:r>
          </w:p>
          <w:p w:rsidR="00C07507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полном приостановлении Правительством Федеративной Республики Германия действия Соглашения между Правительством Российской Федерации и Правительством Федеративной Республики Германия об </w:t>
            </w:r>
            <w:proofErr w:type="spellStart"/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избежании</w:t>
            </w:r>
            <w:proofErr w:type="spellEnd"/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двойного налогообложения в отношении налогов на доходы и имущество от 29.05.1996, а также Протокола к нему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Pr="00531D81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Минфин России: Правительство Федеративной Республики Германия полностью приостанавливает действие Соглашения об </w:t>
            </w:r>
            <w:proofErr w:type="spellStart"/>
            <w:r w:rsidRPr="00531D81">
              <w:rPr>
                <w:rFonts w:ascii="PT Astra Serif" w:hAnsi="PT Astra Serif" w:cs="Times New Roman"/>
                <w:sz w:val="26"/>
                <w:szCs w:val="26"/>
              </w:rPr>
              <w:t>избежании</w:t>
            </w:r>
            <w:proofErr w:type="spellEnd"/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двойного налогообложения.</w:t>
            </w:r>
          </w:p>
          <w:p w:rsidR="00C07507" w:rsidRPr="00531D81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Посольством Федеративной Республики Германия в г. Москве направлена нота от 26.06.2026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156/2026 о приостановлении действия Соглашения, а также Протокола к нему.</w:t>
            </w:r>
          </w:p>
          <w:p w:rsidR="00B75152" w:rsidRPr="005B78DD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 соответствии с положениями упомянутой ноты со стороны Германии Соглашение приостанавливает свое действие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Default="00B75152" w:rsidP="00B7515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6424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FE671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711" w:rsidRPr="00F8367F" w:rsidRDefault="00FE6711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C07507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Некоторые налогоплательщики освобождаются от ответственности за непредставление налоговой отчетности в установленный срок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Pr="00531D81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ФНС напоминает об изменениях в НК РФ, предусматривающих освобождение от ответственности за непредставление в установленный срок налоговой декларации (расчета).</w:t>
            </w:r>
          </w:p>
          <w:p w:rsidR="00C07507" w:rsidRPr="00531D81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Налогоплательщики (ФЛ и ЮЛ) освобождаются от ответственности по пункту 1 статьи 119 НК РФ, если согласно представленной декларации (расчету) отсутствует обязанность по уплате налога (сбора, страховых взносов).</w:t>
            </w:r>
          </w:p>
          <w:p w:rsidR="00FE6711" w:rsidRPr="00FE6711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Также, в частности, сообщается, что суммы штрафа, указанные в уже вынесенных и неисполненных на 26.06.2026 решениях, при наличии оснований для освобождения взысканию не подлежат.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711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6424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B1B5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B53" w:rsidRP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сообщение Минфина России от 13.07.2026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ИС-учет-67</w:t>
            </w:r>
          </w:p>
          <w:p w:rsidR="005B1B53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B1B53"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1D81" w:rsidRPr="00531D81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Минфин информирует об изменениях в порядке предоставления доступа к сведениям, содержащимся в ГИРБО.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Случаи ограничения доступа, а также порядок ограничения и возобновления доступа к информации в ГИРБО определены постановлением Правительства РФ от 27 июня 2026 г.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31D81">
              <w:rPr>
                <w:rFonts w:ascii="PT Astra Serif" w:hAnsi="PT Astra Serif" w:cs="Times New Roman"/>
                <w:sz w:val="26"/>
                <w:szCs w:val="26"/>
              </w:rPr>
              <w:t xml:space="preserve"> 798.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 информации сообщается о следующем, в частности: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дополнен перечень случаев ограничения доступа к информации ГИРБО;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актуализирован состав информации, доступ к которой ограничивается;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уточнен порядок ограничения и возобновления доступа к ГИРБО;</w:t>
            </w:r>
          </w:p>
          <w:p w:rsidR="005B1B53" w:rsidRP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приведены примеры перехода на применение нового порядка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5B1B53" w:rsidRDefault="00C758DB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  <w:bookmarkStart w:id="0" w:name="_GoBack"/>
            <w:bookmarkEnd w:id="0"/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F8367F" w:rsidRDefault="009E48C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4B01DF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1194918-8</w:t>
            </w:r>
          </w:p>
          <w:p w:rsidR="00C07507" w:rsidRPr="004B01DF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>О цифровых валютах и цифровых правах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C07507"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(текст ко второму чтению)</w:t>
            </w:r>
          </w:p>
          <w:p w:rsidR="004B01DF" w:rsidRDefault="004B01DF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B01DF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531D81" w:rsidRPr="00531D81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Обращение цифровых валют в РФ: законопроект подготовлен ко второму чтению.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Законопроектом регулируются: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отношения, возникающие при организации обращения, учете и обращении цифровых валют и иностранных цифровых инструментов, а также при </w:t>
            </w:r>
            <w:proofErr w:type="spellStart"/>
            <w:r w:rsidRPr="00C07507">
              <w:rPr>
                <w:rFonts w:ascii="PT Astra Serif" w:hAnsi="PT Astra Serif" w:cs="Times New Roman"/>
                <w:sz w:val="26"/>
                <w:szCs w:val="26"/>
              </w:rPr>
              <w:t>майнинге</w:t>
            </w:r>
            <w:proofErr w:type="spellEnd"/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цифровых валют, размещении, организации обращения, учете и обращении цифровых прав;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деятельность оператора информационной системы, в которой осуществляется выпуск цифровых финансовых активов, организации, осуществляющей обмен цифровых валют, и цифрового депозитария, а также деятельность брокера, управляющего, управляющей компании, организатора торговли, клиринговой организации, связанная с организацией обращения цифровых валют и цифровых прав.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Законопроект в том числе вводит понятие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иностранный цифровой инструмент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, предусматривает приостановление операций с цифровыми валютами на 48 часов в определенных случаях, закрепляет право Правительства РФ устанавливать особый режим организации обращения и обращения цифровых валют.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Доработаны положения законопроекта об ограничениях переводов денежных средств и приема платежей при незаконной организации обращения цифровых валют (включая закрепление понятия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неуполномоченный получатель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), а также положения о приеме цифровых валют и цифровых прав в качестве средства платежа.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Устанавливается, что в РФ не допускается делать оферты и приглашать делать оферты о приобретении цифровых валют лицами, по поручениям которых брокер не вправе приобретать цифровые валюты, а также не допускаются публичные оферты о приобретении цифровых валют и цифровых прав в обмен на ценные бумаги.</w:t>
            </w:r>
          </w:p>
          <w:p w:rsidR="009E48C3" w:rsidRPr="002930A3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В случае принятия закона он вступит в силу с 1 сентября 2026 года, за исключением положений, для которых устанавливаются иные сроки вступления их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04C1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8367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B53" w:rsidRP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1286425-8</w:t>
            </w:r>
          </w:p>
          <w:p w:rsidR="005B1B53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B1B53"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B1B53"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5B1B53"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(в части упрощения и оптимизации порядка осуществления закупок)</w:t>
            </w:r>
          </w:p>
          <w:p w:rsidR="005B1B53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Внесен 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Сенатор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ами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Российской Федерации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В.И.Матвиенко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; Депутат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ами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Государственной Думы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В.В.Володин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; Сенатор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ами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Российской Федерации В.В.Якушев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Н.А.Журавлев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А.Д.Артамонов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А.В.Кутепов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; Депутат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ами</w:t>
            </w:r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Государственной Думы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А.Д.Жуков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А.М.Макаров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5B1B53">
              <w:rPr>
                <w:rFonts w:ascii="PT Astra Serif" w:hAnsi="PT Astra Serif" w:cs="Times New Roman"/>
                <w:b/>
                <w:sz w:val="26"/>
                <w:szCs w:val="26"/>
              </w:rPr>
              <w:t>М.А.Топилин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ым</w:t>
            </w:r>
            <w:proofErr w:type="spellEnd"/>
          </w:p>
          <w:p w:rsidR="00531D81" w:rsidRPr="00531D81" w:rsidRDefault="00531D81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 Госдуму внесен законопроект об упрощении и ускорении закупочных процедур.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Законопроектом предусматривается: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повышение ограничения начальной (максимальной) цены контракта для проведения электронного запроса котировок до 20 млн рублей сроком до 31 декабря 2027 года;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возможность заменять товар на товар с аналогичными характеристиками, а также изменять страну происхождения товара при условии соблюдения защитных мер в отношении российских товаров;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повышение лимита начальной максимальной цены контракта с предприятиями малого бизнеса с 20 до 30 млн рублей;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возможность изменения существенных условий контракта в ряде случаев;</w:t>
            </w:r>
          </w:p>
          <w:p w:rsidR="005B1B53" w:rsidRPr="00531D8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сокращение срока согласования с уполномоченными органами отдельных видов закупок, сохранение права закупки у единственного поставщика для сельских населенных пунктов и уточнение порядка закупки лекарственных препаратов для конкретных пациентов;</w:t>
            </w:r>
          </w:p>
          <w:p w:rsidR="00104C1F" w:rsidRPr="00FE6711" w:rsidRDefault="005B1B53" w:rsidP="005B1B5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1D81">
              <w:rPr>
                <w:rFonts w:ascii="PT Astra Serif" w:hAnsi="PT Astra Serif" w:cs="Times New Roman"/>
                <w:sz w:val="26"/>
                <w:szCs w:val="26"/>
              </w:rPr>
              <w:t>наделение Минфина России полномочиями по разъяснению норм законодательства о контрактной системе.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6424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4267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3" w:rsidRPr="00F8367F" w:rsidRDefault="0084267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Конституционного Суда РФ от 14.07.2026 </w:t>
            </w:r>
            <w:r w:rsidR="00531D8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48-П</w:t>
            </w:r>
          </w:p>
          <w:p w:rsidR="00C07507" w:rsidRPr="00C07507" w:rsidRDefault="00531D81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 делу о проверке конституционности статьи 22.1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О государственной кадастровой оценке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 части 3 статьи 245 Кодекса административного судопроизводства Российской Федерации в связи с жалобами граждан </w:t>
            </w:r>
            <w:proofErr w:type="spellStart"/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>Бухмиллер</w:t>
            </w:r>
            <w:proofErr w:type="spellEnd"/>
            <w:r w:rsidR="00C07507" w:rsidRPr="00C0750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Инги Федоровны и Епифанова Антона Владимировича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Конституционный Суд предложил временный порядок оспаривания налогоплательщиком архивной кадастровой стоимости объекта недвижимости, использованной для определения налоговой базы в предшествующих налоговых периодах, на основании ее несоответствия рыночной стоимости этого объекта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Статья 22.1 Федерального закона 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О государственной кадастровой оценке</w:t>
            </w:r>
            <w:r w:rsidR="00531D8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C07507">
              <w:rPr>
                <w:rFonts w:ascii="PT Astra Serif" w:hAnsi="PT Astra Serif" w:cs="Times New Roman"/>
                <w:sz w:val="26"/>
                <w:szCs w:val="26"/>
              </w:rPr>
              <w:t xml:space="preserve"> признана не соответствующей Конституции РФ в той мере, в какой, предусматривая в системе действующего правового регулирования механизм внесудебного определения кадастровой стоимости в размере рыночной стоимости, данная норма не исключает возникновения ситуации, когда действующий добросовестно налогоплательщик - физическое лицо, не являющееся индивидуальным предпринимателем, лишается возможности оспорить архивную кадастровую стоимость объекта недвижимости, которая продолжает использоваться для определения налоговой базы по подлежащим уплате земельному налогу и налогу на имущество физических лиц, на основании ее несоответствия рыночной стоимости этого объекта как посредством обращения в бюджетное учреждение, созданное субъектом РФ и наделенное полномочиями, связанными с определением кадастровой стоимости, так и в судебном порядке.</w:t>
            </w:r>
          </w:p>
          <w:p w:rsidR="00C07507" w:rsidRPr="00C07507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Федеральному законодателю надлежит внести изменения в действующее законодательство и урегулировать указанный порядок оспаривания архивной кадастровой стоимости объекта недвижимости.</w:t>
            </w:r>
          </w:p>
          <w:p w:rsidR="00842673" w:rsidRPr="00842673" w:rsidRDefault="00C07507" w:rsidP="00C0750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07507">
              <w:rPr>
                <w:rFonts w:ascii="PT Astra Serif" w:hAnsi="PT Astra Serif" w:cs="Times New Roman"/>
                <w:sz w:val="26"/>
                <w:szCs w:val="26"/>
              </w:rPr>
              <w:t>Впредь до внесения соответствующих изменений архивная кадастровая стоимость может быть оспорена путем подачи заявления об установлении кадастровой стоимости объекта недвижимости в размере его рыночной стоимости в бюджетное учреждение, созданное субъектом РФ и наделенное полномочиями, связанными с определением кадастровой стоимости, в течение одного года со дня, когда действующему добросовестно налогоплательщику - физическому лицу, не являющемуся индивидуальным предпринимателем, стало или должно было стать известно о налогово-правовых последствиях установления кадастровой стоимости принадлежащего ему объекта недвижимости (в том числе со дня, когда направленное налогоплательщику налоговое уведомление считается им полученным), а указанное бюджетное учреждение в рамках рассмотрения такого заявления устанавливает кадастровую стоимость объекта недвижимости в размере его рыночной стоимости, которая подлежит применению для определения налоговой базы по земельному налогу или налогу на имущество физических лиц на 1 января соответствующего предшествующего года, в пределах трех лет, предшествующих году подачи такого заявления.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3" w:rsidRPr="00364242" w:rsidRDefault="00B7515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515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C758DB">
          <w:rPr>
            <w:rFonts w:ascii="PT Astra Serif" w:hAnsi="PT Astra Serif"/>
            <w:noProof/>
          </w:rPr>
          <w:t>9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8B3"/>
    <w:rsid w:val="00302C6B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01DF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1D81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1B53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35EBD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36FC2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2673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53AE"/>
    <w:rsid w:val="00BF5F96"/>
    <w:rsid w:val="00C02B0E"/>
    <w:rsid w:val="00C07507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758DB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136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  <w14:docId w14:val="27B6DD03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4F492-12B4-415D-A533-93D2A06A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3355</Words>
  <Characters>19125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4</cp:revision>
  <cp:lastPrinted>2025-12-11T07:34:00Z</cp:lastPrinted>
  <dcterms:created xsi:type="dcterms:W3CDTF">2026-07-23T08:57:00Z</dcterms:created>
  <dcterms:modified xsi:type="dcterms:W3CDTF">2026-07-23T10:31:00Z</dcterms:modified>
</cp:coreProperties>
</file>