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482"/>
        <w:gridCol w:w="3119"/>
      </w:tblGrid>
      <w:tr w:rsidR="00945C8B" w:rsidRPr="003A4F4D" w:rsidTr="001452B0">
        <w:trPr>
          <w:trHeight w:val="270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3A4F4D" w:rsidRDefault="00A54024" w:rsidP="006771FE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09</w:t>
            </w:r>
            <w:r w:rsidR="00873EC6">
              <w:rPr>
                <w:rFonts w:ascii="PT Astra Serif" w:hAnsi="PT Astra Serif" w:cs="Times New Roman"/>
                <w:b/>
                <w:sz w:val="26"/>
                <w:szCs w:val="26"/>
              </w:rPr>
              <w:t>.02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13</w:t>
            </w:r>
            <w:r w:rsidR="00873EC6">
              <w:rPr>
                <w:rFonts w:ascii="PT Astra Serif" w:hAnsi="PT Astra Serif" w:cs="Times New Roman"/>
                <w:b/>
                <w:sz w:val="26"/>
                <w:szCs w:val="26"/>
              </w:rPr>
              <w:t>.02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1452B0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452B0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D1144C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44C" w:rsidRPr="003A4F4D" w:rsidRDefault="00D1144C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3C7" w:rsidRPr="00CF4F50" w:rsidRDefault="00CF4F50" w:rsidP="00F803C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F4F5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11.02.2026 </w:t>
            </w:r>
            <w:r w:rsidR="00782D0F">
              <w:rPr>
                <w:rFonts w:ascii="PT Astra Serif" w:hAnsi="PT Astra Serif" w:cs="Times New Roman"/>
                <w:b/>
                <w:sz w:val="26"/>
                <w:szCs w:val="26"/>
              </w:rPr>
              <w:t>№ 18-ФЗ «</w:t>
            </w:r>
            <w:r w:rsidRPr="00CF4F50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части первую и вторую Налогового кодекса Российской Федерации</w:t>
            </w:r>
            <w:r w:rsidR="00782D0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CF4F50" w:rsidRPr="00CF4F50" w:rsidRDefault="00CF4F50" w:rsidP="00F803C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F4F50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- 01.04.2026 (за исключением отдельных положений).</w:t>
            </w:r>
          </w:p>
          <w:p w:rsidR="00CF4F50" w:rsidRPr="00CF4F50" w:rsidRDefault="00CF4F50" w:rsidP="00CF4F5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F4F50">
              <w:rPr>
                <w:rFonts w:ascii="PT Astra Serif" w:hAnsi="PT Astra Serif" w:cs="Times New Roman"/>
                <w:sz w:val="26"/>
                <w:szCs w:val="26"/>
              </w:rPr>
              <w:t>Для резидентов (участников) специальных экономических зон установлены дополнительные требования для применения налоговых льгот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CF4F50" w:rsidRPr="00CF4F50" w:rsidRDefault="00CF4F50" w:rsidP="00CF4F5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F4F50">
              <w:rPr>
                <w:rFonts w:ascii="PT Astra Serif" w:hAnsi="PT Astra Serif" w:cs="Times New Roman"/>
                <w:sz w:val="26"/>
                <w:szCs w:val="26"/>
              </w:rPr>
              <w:t>Часть первая НК РФ дополнена статьей 56.1, устанавливающей условия применения льгот резидентами ТОР (международной территории опережающего развития); резидентами свободного порта Владивосток; резидентами Арктической зоны РФ; резидентами ОЭЗ; резидентами ОЭЗ в Калининградской области; участниками СЭЗ на территориях Республики Крым и Севастополя.</w:t>
            </w:r>
          </w:p>
          <w:p w:rsidR="00CF4F50" w:rsidRPr="00CF4F50" w:rsidRDefault="00CF4F50" w:rsidP="00CF4F5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F4F50">
              <w:rPr>
                <w:rFonts w:ascii="PT Astra Serif" w:hAnsi="PT Astra Serif" w:cs="Times New Roman"/>
                <w:sz w:val="26"/>
                <w:szCs w:val="26"/>
              </w:rPr>
              <w:t>Для применения установленных льгот необходимо одновременное соблюдение ряда условий: отсутствие фактов привлечения к административной ответственности за непредставление бухгалтерской (финансовой) отчетности по статье 19.7 КоАП РФ более двух раз в течение трех календарных лет; выполнение отдельных обязательств, установленных соглашением об осуществлении деятельности.</w:t>
            </w:r>
          </w:p>
          <w:p w:rsidR="00CF4F50" w:rsidRPr="00CF4F50" w:rsidRDefault="00CF4F50" w:rsidP="00CF4F5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F4F50">
              <w:rPr>
                <w:rFonts w:ascii="PT Astra Serif" w:hAnsi="PT Astra Serif" w:cs="Times New Roman"/>
                <w:sz w:val="26"/>
                <w:szCs w:val="26"/>
              </w:rPr>
              <w:t>Перечень показателей, характеризующих выполнение отдельных обязательств, а также допустимых пределов отклонений фактических значений указанных показателей, будет определяться законом субъекта РФ, на территории которого осуществляется деятельность в рамках соглашения.</w:t>
            </w:r>
          </w:p>
          <w:p w:rsidR="00CF4F50" w:rsidRPr="00CF4F50" w:rsidRDefault="00CF4F50" w:rsidP="00CF4F5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F4F50">
              <w:rPr>
                <w:rFonts w:ascii="PT Astra Serif" w:hAnsi="PT Astra Serif" w:cs="Times New Roman"/>
                <w:sz w:val="26"/>
                <w:szCs w:val="26"/>
              </w:rPr>
              <w:t>Целью еще одного нововведения является сохранение льгот при условии, что объем осуществленных инвестиций не меньше объема предоставленных преференций (данное правило не распространяется на резидентов Арктической зоны - налогоплательщиков НДПИ).</w:t>
            </w:r>
          </w:p>
          <w:p w:rsidR="00CF4F50" w:rsidRPr="00873EC6" w:rsidRDefault="00CF4F50" w:rsidP="00CF4F5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F4F50">
              <w:rPr>
                <w:rFonts w:ascii="PT Astra Serif" w:hAnsi="PT Astra Serif" w:cs="Times New Roman"/>
                <w:sz w:val="26"/>
                <w:szCs w:val="26"/>
              </w:rPr>
              <w:t>Требования, предусмотренные новой статьей НК РФ, не применяются в отношении резидентов (участников) в течение трех последовательных календарных лет начиная с года получения соответствующего статуса.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44C" w:rsidRDefault="00782D0F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82D0F"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472D3E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D3E" w:rsidRPr="003A4F4D" w:rsidRDefault="00472D3E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D3E" w:rsidRDefault="001F3C45" w:rsidP="00472D3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F3C4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10.02.2026 </w:t>
            </w:r>
            <w:r w:rsidR="00782D0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1F3C4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107 </w:t>
            </w:r>
            <w:r w:rsidR="00782D0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1F3C4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15 апреля 2014 г. </w:t>
            </w:r>
            <w:r w:rsidR="00782D0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1F3C4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316</w:t>
            </w:r>
            <w:r w:rsidR="00782D0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1F3C45" w:rsidRDefault="001F3C45" w:rsidP="00472D3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F3C45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- 19.02.2026.</w:t>
            </w:r>
          </w:p>
          <w:p w:rsidR="001F3C45" w:rsidRPr="001F3C45" w:rsidRDefault="001F3C45" w:rsidP="00472D3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F3C45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Утверждены изменения, которые вносятся в приложение </w:t>
            </w:r>
            <w:r w:rsidR="00782D0F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1F3C45">
              <w:rPr>
                <w:rFonts w:ascii="PT Astra Serif" w:hAnsi="PT Astra Serif" w:cs="Times New Roman"/>
                <w:sz w:val="26"/>
                <w:szCs w:val="26"/>
              </w:rPr>
              <w:t xml:space="preserve"> 50 к государственной программе Российской Федерации </w:t>
            </w:r>
            <w:r w:rsidR="00782D0F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1F3C45">
              <w:rPr>
                <w:rFonts w:ascii="PT Astra Serif" w:hAnsi="PT Astra Serif" w:cs="Times New Roman"/>
                <w:sz w:val="26"/>
                <w:szCs w:val="26"/>
              </w:rPr>
              <w:t>Экономическое развитие и инновационная экономика</w:t>
            </w:r>
            <w:r w:rsidR="00782D0F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1F3C45">
              <w:rPr>
                <w:rFonts w:ascii="PT Astra Serif" w:hAnsi="PT Astra Serif" w:cs="Times New Roman"/>
                <w:sz w:val="26"/>
                <w:szCs w:val="26"/>
              </w:rPr>
              <w:t xml:space="preserve">, утвержденной постановлением Правительства Российской Федерации от 15 апреля 2014 г. </w:t>
            </w:r>
            <w:r w:rsidR="00782D0F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1F3C45">
              <w:rPr>
                <w:rFonts w:ascii="PT Astra Serif" w:hAnsi="PT Astra Serif" w:cs="Times New Roman"/>
                <w:sz w:val="26"/>
                <w:szCs w:val="26"/>
              </w:rPr>
              <w:t xml:space="preserve"> 316.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D3E" w:rsidRPr="00F803C7" w:rsidRDefault="00782D0F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82D0F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  <w:tr w:rsidR="00B865B2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B2" w:rsidRPr="003A4F4D" w:rsidRDefault="00B865B2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B2" w:rsidRDefault="00B865B2" w:rsidP="00472D3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865B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Правительства РФ от 12.02.2026 № 124 «</w:t>
            </w:r>
            <w:r w:rsidRPr="00B865B2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некоторые акты Пра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вительства Российской Федерации»</w:t>
            </w:r>
          </w:p>
          <w:p w:rsidR="00B865B2" w:rsidRDefault="00B865B2" w:rsidP="00472D3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865B2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- 21.02.2026.</w:t>
            </w:r>
          </w:p>
          <w:p w:rsidR="00B865B2" w:rsidRPr="00B865B2" w:rsidRDefault="00B865B2" w:rsidP="00B865B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865B2">
              <w:rPr>
                <w:rFonts w:ascii="PT Astra Serif" w:hAnsi="PT Astra Serif" w:cs="Times New Roman"/>
                <w:sz w:val="26"/>
                <w:szCs w:val="26"/>
              </w:rPr>
              <w:t>Внесены изменения в перечень источников доходов бюджетов субъектов РФ, бюджетов государственных внебюджетных фондов и местных бюджетов, закрепляемых за федеральными органами государственной власти (государственными органами) и (или) находящимися в их ведении казенными учреждениями, а также за Банком России.</w:t>
            </w:r>
          </w:p>
          <w:p w:rsidR="00B865B2" w:rsidRPr="001F3C45" w:rsidRDefault="00B865B2" w:rsidP="00B865B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865B2">
              <w:rPr>
                <w:rFonts w:ascii="PT Astra Serif" w:hAnsi="PT Astra Serif" w:cs="Times New Roman"/>
                <w:sz w:val="26"/>
                <w:szCs w:val="26"/>
              </w:rPr>
              <w:t>Из указанного перечня исключена админист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рируемая ФНС России позиция 2. «Налог на игорный бизнес» раздела II. «Региональные налоги»</w:t>
            </w:r>
            <w:r w:rsidRPr="00B865B2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B2" w:rsidRPr="00782D0F" w:rsidRDefault="0030517D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0517D"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DE4A0B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0B" w:rsidRPr="003A4F4D" w:rsidRDefault="00DE4A0B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A0B" w:rsidRPr="001F3C45" w:rsidRDefault="00CF4F50" w:rsidP="00F803C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F3C4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14.02.2026 </w:t>
            </w:r>
            <w:r w:rsidR="00782D0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1F3C4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140 </w:t>
            </w:r>
            <w:r w:rsidR="00782D0F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1F3C4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24 февраля 2025 г. </w:t>
            </w:r>
            <w:r w:rsidR="00782D0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1F3C4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207</w:t>
            </w:r>
            <w:r w:rsidR="00782D0F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CF4F50" w:rsidRPr="001F3C45" w:rsidRDefault="00CF4F50" w:rsidP="00F803C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F3C45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- 22.02.2026.</w:t>
            </w:r>
          </w:p>
          <w:p w:rsidR="00CF4F50" w:rsidRPr="00DE4A0B" w:rsidRDefault="00CF4F50" w:rsidP="00F803C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Утверждены </w:t>
            </w:r>
            <w:r w:rsidRPr="00CF4F50">
              <w:rPr>
                <w:rFonts w:ascii="PT Astra Serif" w:hAnsi="PT Astra Serif" w:cs="Times New Roman"/>
                <w:sz w:val="26"/>
                <w:szCs w:val="26"/>
              </w:rPr>
              <w:t xml:space="preserve">изменения, которые вносятся в Правила предоставления иных межбюджетных трансфертов из федерального бюджета, источником финансового обеспечения которых являются бюджетные ассигнования резервного фонда Правительства Российской Федерации, бюджетам субъектов Российской Федерации в целях возмещения понесенных бюджетами субъектов Российской Федерации (местными бюджетами) расходов на выполнение работ (оказание услуг) по ликвидации последствий чрезвычайной ситуации, обусловленной разливом нефтепродуктов в результате крушения танкеров в Керченском проливе 15 декабря 2024 г., утвержденные постановлением Правительства Российской Федерации от 24 февраля 2025 г. </w:t>
            </w:r>
            <w:r w:rsidR="00782D0F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CF4F50">
              <w:rPr>
                <w:rFonts w:ascii="PT Astra Serif" w:hAnsi="PT Astra Serif" w:cs="Times New Roman"/>
                <w:sz w:val="26"/>
                <w:szCs w:val="26"/>
              </w:rPr>
              <w:t xml:space="preserve"> 207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A0B" w:rsidRPr="00F803C7" w:rsidRDefault="004B2B94" w:rsidP="004B2B9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4B2B94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3A4F4D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C45" w:rsidRPr="001F3C45" w:rsidRDefault="001F3C45" w:rsidP="001F3C4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F3C4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&lt;Письмо&gt; ФНС России от 09.02.2026 </w:t>
            </w:r>
            <w:r w:rsidR="00782D0F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1F3C4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СД-36-3/929@</w:t>
            </w:r>
          </w:p>
          <w:p w:rsidR="00634A18" w:rsidRPr="001F3C45" w:rsidRDefault="00782D0F" w:rsidP="001F3C4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1F3C45" w:rsidRPr="001F3C45">
              <w:rPr>
                <w:rFonts w:ascii="PT Astra Serif" w:hAnsi="PT Astra Serif" w:cs="Times New Roman"/>
                <w:b/>
                <w:sz w:val="26"/>
                <w:szCs w:val="26"/>
              </w:rPr>
              <w:t>О направлении разъяснений Минфина России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1F3C45" w:rsidRPr="001F3C45" w:rsidRDefault="001F3C45" w:rsidP="001F3C4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F3C45">
              <w:rPr>
                <w:rFonts w:ascii="PT Astra Serif" w:hAnsi="PT Astra Serif" w:cs="Times New Roman"/>
                <w:sz w:val="26"/>
                <w:szCs w:val="26"/>
              </w:rPr>
              <w:t>Даны разъяснения по вопросу отнесения нефтепродуктов к гудрону и рассмотрения таких нефтепродуктов в качестве подакцизного нефтяного сырья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1F3C45" w:rsidRPr="001F3C45" w:rsidRDefault="001F3C45" w:rsidP="001F3C4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F3C45">
              <w:rPr>
                <w:rFonts w:ascii="PT Astra Serif" w:hAnsi="PT Astra Serif" w:cs="Times New Roman"/>
                <w:sz w:val="26"/>
                <w:szCs w:val="26"/>
              </w:rPr>
              <w:t>Подпункт 13.1 пункта 1 статьи 181 НК РФ содержит условия для признания нефтяного сырья подакцизным товаром.</w:t>
            </w:r>
          </w:p>
          <w:p w:rsidR="001F3C45" w:rsidRPr="00D1144C" w:rsidRDefault="001F3C45" w:rsidP="001F3C4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F3C45">
              <w:rPr>
                <w:rFonts w:ascii="PT Astra Serif" w:hAnsi="PT Astra Serif" w:cs="Times New Roman"/>
                <w:sz w:val="26"/>
                <w:szCs w:val="26"/>
              </w:rPr>
              <w:t xml:space="preserve">Сообщается, в частности, что в случае если нефтепродукты отвечают соответствующим физико-химическим характеристикам, а именно: при температуре 20 градусов Цельсия и давлении 760 миллиметров ртутного столба обладают плотностью более 930 кг/м3, то в целях главы 22 </w:t>
            </w:r>
            <w:r w:rsidR="00782D0F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1F3C45">
              <w:rPr>
                <w:rFonts w:ascii="PT Astra Serif" w:hAnsi="PT Astra Serif" w:cs="Times New Roman"/>
                <w:sz w:val="26"/>
                <w:szCs w:val="26"/>
              </w:rPr>
              <w:t>Акцизы</w:t>
            </w:r>
            <w:r w:rsidR="00782D0F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1F3C45">
              <w:rPr>
                <w:rFonts w:ascii="PT Astra Serif" w:hAnsi="PT Astra Serif" w:cs="Times New Roman"/>
                <w:sz w:val="26"/>
                <w:szCs w:val="26"/>
              </w:rPr>
              <w:t xml:space="preserve"> НК РФ данные продукты будут являться гудроном и признаваться подакцизным товаром - нефтяным сырьем.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3A4F4D" w:rsidRDefault="003A4F4D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B865B2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B2" w:rsidRPr="003A4F4D" w:rsidRDefault="00B865B2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B2" w:rsidRPr="00B865B2" w:rsidRDefault="00B865B2" w:rsidP="00B865B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865B2">
              <w:rPr>
                <w:rFonts w:ascii="PT Astra Serif" w:hAnsi="PT Astra Serif" w:cs="Times New Roman"/>
                <w:b/>
                <w:sz w:val="26"/>
                <w:szCs w:val="26"/>
              </w:rPr>
              <w:t>&lt;Письм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о&gt; ФНС России от 10.02.2026 №</w:t>
            </w:r>
            <w:r w:rsidRPr="00B865B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БВ-36-7/948@</w:t>
            </w:r>
          </w:p>
          <w:p w:rsidR="00B865B2" w:rsidRDefault="00B865B2" w:rsidP="00B865B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865B2">
              <w:rPr>
                <w:rFonts w:ascii="PT Astra Serif" w:hAnsi="PT Astra Serif" w:cs="Times New Roman"/>
                <w:b/>
                <w:sz w:val="26"/>
                <w:szCs w:val="26"/>
              </w:rPr>
              <w:t>&lt;О направлении Обзора правовых позиций, отраженных в судебных актах Конституционного Суда РФ и Верховного Суда РФ, принятых в IV квартале 2025 года по вопросам налогообложения&gt;</w:t>
            </w:r>
          </w:p>
          <w:p w:rsidR="00B865B2" w:rsidRPr="00B865B2" w:rsidRDefault="00B865B2" w:rsidP="00B865B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865B2">
              <w:rPr>
                <w:rFonts w:ascii="PT Astra Serif" w:hAnsi="PT Astra Serif" w:cs="Times New Roman"/>
                <w:sz w:val="26"/>
                <w:szCs w:val="26"/>
              </w:rPr>
              <w:t>ФНС представлен обзор правовых позиций Конституционного Суда РФ и Верховного Суда РФ, принятых в IV квартале 2025 года по вопросам налогообложения.</w:t>
            </w:r>
          </w:p>
          <w:p w:rsidR="00B865B2" w:rsidRPr="00B865B2" w:rsidRDefault="00B865B2" w:rsidP="00B865B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865B2">
              <w:rPr>
                <w:rFonts w:ascii="PT Astra Serif" w:hAnsi="PT Astra Serif" w:cs="Times New Roman"/>
                <w:sz w:val="26"/>
                <w:szCs w:val="26"/>
              </w:rPr>
              <w:t>В обзоре приведены наиболее важные судебные решения, содержащие, в частности, следующие выводы:</w:t>
            </w:r>
          </w:p>
          <w:p w:rsidR="00B865B2" w:rsidRPr="00B865B2" w:rsidRDefault="00B865B2" w:rsidP="00B865B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865B2">
              <w:rPr>
                <w:rFonts w:ascii="PT Astra Serif" w:hAnsi="PT Astra Serif" w:cs="Times New Roman"/>
                <w:sz w:val="26"/>
                <w:szCs w:val="26"/>
              </w:rPr>
              <w:t>при отсутствии у покупателя права на вычет по НДС автоматическое взыскание с него в пользу поставщика дополнительного вознаграждения для компенсации последствий изменения налогового законодательства (в частности, в связи с увеличением ставки НДС), ведет к переложению на покупателя некомпенсируемого имущественного бремени (потерь), а потому к нарушению равенства сторон договора;</w:t>
            </w:r>
          </w:p>
          <w:p w:rsidR="00B865B2" w:rsidRPr="00B865B2" w:rsidRDefault="00B865B2" w:rsidP="00B865B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865B2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введение налога на сверхприбыль охватывает не только обычную предпринимательскую деятельность, но и любые экономические операции, в том числе операции по продаже имущества должников-банкротов, принесшие сверхприбыль;</w:t>
            </w:r>
          </w:p>
          <w:p w:rsidR="00B865B2" w:rsidRPr="00B865B2" w:rsidRDefault="00B865B2" w:rsidP="00B865B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865B2">
              <w:rPr>
                <w:rFonts w:ascii="PT Astra Serif" w:hAnsi="PT Astra Serif" w:cs="Times New Roman"/>
                <w:sz w:val="26"/>
                <w:szCs w:val="26"/>
              </w:rPr>
              <w:t>арест, наложенный налоговым органом, порождает залог в силу закона, поэтому требования налогового органа в деле о банкротстве устанавливаются как обеспеченные залогом и налоговый орган как кредитор имеет права залогодержателя в отношении такого имущества;</w:t>
            </w:r>
          </w:p>
          <w:p w:rsidR="00B865B2" w:rsidRPr="00B865B2" w:rsidRDefault="00B865B2" w:rsidP="00B865B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865B2">
              <w:rPr>
                <w:rFonts w:ascii="PT Astra Serif" w:hAnsi="PT Astra Serif" w:cs="Times New Roman"/>
                <w:sz w:val="26"/>
                <w:szCs w:val="26"/>
              </w:rPr>
              <w:t>налоговый орган при проведении камеральной налоговой проверки обязан исходить из имеющихся у него документов и сведений, поэтому риск негативного исхода налоговой проверки, связанного с доначислением налогов и привлечением к налоговой ответственности, возлагается на налогоплательщика (налогового агента), не представившего вместе с пояснениями необходимые для проверки документы;</w:t>
            </w:r>
          </w:p>
          <w:p w:rsidR="00B865B2" w:rsidRPr="001F3C45" w:rsidRDefault="00B865B2" w:rsidP="00B865B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865B2">
              <w:rPr>
                <w:rFonts w:ascii="PT Astra Serif" w:hAnsi="PT Astra Serif" w:cs="Times New Roman"/>
                <w:sz w:val="26"/>
                <w:szCs w:val="26"/>
              </w:rPr>
              <w:t>нарушение налоговым органом срока направления гаранту уведомления об освобождении от обязательств по банковской гарантии не может выступать единственным основанием для взыскания с налогового органа убытков в виде переплаты процентов за выдачу банковской гарантии в отсутствие оценки действий (бездействия) принципала для уменьшения (исключения) убытков.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B2" w:rsidRPr="003A4F4D" w:rsidRDefault="00B865B2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B865B2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  <w:tr w:rsidR="00C364FC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FC" w:rsidRPr="003A4F4D" w:rsidRDefault="00C364FC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4FC" w:rsidRPr="00C364FC" w:rsidRDefault="00C364FC" w:rsidP="00C364F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364F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Федерального закона «О внесении изменений в Бюджетный кодекс Российской Федерации» </w:t>
            </w:r>
          </w:p>
          <w:p w:rsidR="00C364FC" w:rsidRPr="00C364FC" w:rsidRDefault="00C364FC" w:rsidP="00C364F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364F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(подготовлен Минфином России, ID проекта 01/05/01-26/00164258) </w:t>
            </w:r>
          </w:p>
          <w:p w:rsidR="00C364FC" w:rsidRPr="00C364FC" w:rsidRDefault="00C364FC" w:rsidP="00C364F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364FC">
              <w:rPr>
                <w:rFonts w:ascii="PT Astra Serif" w:hAnsi="PT Astra Serif" w:cs="Times New Roman"/>
                <w:b/>
                <w:sz w:val="26"/>
                <w:szCs w:val="26"/>
              </w:rPr>
              <w:t>(не внесен в ГД ФС РФ, текст по состоянию на 12.02.2026)</w:t>
            </w:r>
          </w:p>
          <w:p w:rsidR="00C364FC" w:rsidRPr="00C364FC" w:rsidRDefault="00C364FC" w:rsidP="00C364F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364FC">
              <w:rPr>
                <w:rFonts w:ascii="PT Astra Serif" w:hAnsi="PT Astra Serif" w:cs="Times New Roman"/>
                <w:sz w:val="26"/>
                <w:szCs w:val="26"/>
              </w:rPr>
              <w:t>Согласно пояснительной записке, законопроектом предлагается внести изменения в статью 241 Бюджетного кодекса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Российской Федерации</w:t>
            </w:r>
            <w:r w:rsidRPr="00C364FC">
              <w:rPr>
                <w:rFonts w:ascii="PT Astra Serif" w:hAnsi="PT Astra Serif" w:cs="Times New Roman"/>
                <w:sz w:val="26"/>
                <w:szCs w:val="26"/>
              </w:rPr>
              <w:t xml:space="preserve"> в целях законодательного обеспечения возможности осуществления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публично-правовой компанией «</w:t>
            </w:r>
            <w:r w:rsidRPr="00C364FC">
              <w:rPr>
                <w:rFonts w:ascii="PT Astra Serif" w:hAnsi="PT Astra Serif" w:cs="Times New Roman"/>
                <w:sz w:val="26"/>
                <w:szCs w:val="26"/>
              </w:rPr>
              <w:t>Единый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заказчик в сфере строительства» (далее – Компания)</w:t>
            </w:r>
            <w:r w:rsidRPr="00C364FC">
              <w:rPr>
                <w:rFonts w:ascii="PT Astra Serif" w:hAnsi="PT Astra Serif" w:cs="Times New Roman"/>
                <w:sz w:val="26"/>
                <w:szCs w:val="26"/>
              </w:rPr>
              <w:t xml:space="preserve"> в исключительных случаях функций по обеспечению реконструкции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объектов </w:t>
            </w:r>
            <w:r w:rsidRPr="00C364FC">
              <w:rPr>
                <w:rFonts w:ascii="PT Astra Serif" w:hAnsi="PT Astra Serif" w:cs="Times New Roman"/>
                <w:sz w:val="26"/>
                <w:szCs w:val="26"/>
              </w:rPr>
              <w:t>здравоохранения, образования, культуры</w:t>
            </w:r>
            <w:r w:rsidRPr="00C364FC">
              <w:rPr>
                <w:rFonts w:ascii="PT Astra Serif" w:hAnsi="PT Astra Serif" w:cs="Times New Roman"/>
                <w:sz w:val="26"/>
                <w:szCs w:val="26"/>
              </w:rPr>
              <w:t>, которые находятся или будут находиться в государственной собственности субъектов Российской Федерации и предусматривает следующие особенности регулирования бюджетных правоотношений:</w:t>
            </w:r>
          </w:p>
          <w:p w:rsidR="00C364FC" w:rsidRPr="00C364FC" w:rsidRDefault="00C364FC" w:rsidP="00C364F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364FC">
              <w:rPr>
                <w:rFonts w:ascii="PT Astra Serif" w:hAnsi="PT Astra Serif" w:cs="Times New Roman"/>
                <w:sz w:val="26"/>
                <w:szCs w:val="26"/>
              </w:rPr>
              <w:t>1) указание Компании в решении субъекта Российской Федерации о подготовке и реализации бюджетных инвестиций в случае принятия Правительством Российской Федерации решения, что строительство (реконструкцию) объекта обеспечивает Компания;</w:t>
            </w:r>
          </w:p>
          <w:p w:rsidR="00C364FC" w:rsidRPr="00C364FC" w:rsidRDefault="00C364FC" w:rsidP="00C364F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364FC">
              <w:rPr>
                <w:rFonts w:ascii="PT Astra Serif" w:hAnsi="PT Astra Serif" w:cs="Times New Roman"/>
                <w:sz w:val="26"/>
                <w:szCs w:val="26"/>
              </w:rPr>
              <w:t>2) формирование в государственной интегрированной информационной системе управления общественными финансами «Электронный бюджет» сведений об объекте;</w:t>
            </w:r>
          </w:p>
          <w:p w:rsidR="00C364FC" w:rsidRPr="00C364FC" w:rsidRDefault="00C364FC" w:rsidP="00C364F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364FC">
              <w:rPr>
                <w:rFonts w:ascii="PT Astra Serif" w:hAnsi="PT Astra Serif" w:cs="Times New Roman"/>
                <w:sz w:val="26"/>
                <w:szCs w:val="26"/>
              </w:rPr>
              <w:t>3) заключение с Компанией соглашения о передаче полномочий государственного заказчика в соответствии с типовой формой, утвержденной Минфином России, а также возможность передать Компании указанные полномочия в целях реконструкции объекта;</w:t>
            </w:r>
          </w:p>
          <w:p w:rsidR="00C364FC" w:rsidRPr="00B865B2" w:rsidRDefault="00C364FC" w:rsidP="00C364F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364FC">
              <w:rPr>
                <w:rFonts w:ascii="PT Astra Serif" w:hAnsi="PT Astra Serif" w:cs="Times New Roman"/>
                <w:sz w:val="26"/>
                <w:szCs w:val="26"/>
              </w:rPr>
              <w:t>4) предоставление федеральному бюджету из бюджета субъекта Российской Федерации иного межбюджетного трансферта в связи с исполнением полномочий субъекта Российской Федерации, связанных с выполнением функций технического заказчика и проведением строительного контроля в отношении регионального объекта, требованиями к правилам предоставлению которого определит Правительство Российской Федерации.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4FC" w:rsidRPr="00B865B2" w:rsidRDefault="00C364FC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364FC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  <w:bookmarkStart w:id="0" w:name="_GoBack"/>
            <w:bookmarkEnd w:id="0"/>
          </w:p>
        </w:tc>
      </w:tr>
    </w:tbl>
    <w:p w:rsidR="00756D14" w:rsidRPr="003A4F4D" w:rsidRDefault="00756D14" w:rsidP="00B21F0A">
      <w:pPr>
        <w:rPr>
          <w:rFonts w:ascii="PT Astra Serif" w:hAnsi="PT Astra Serif"/>
          <w:sz w:val="26"/>
          <w:szCs w:val="26"/>
        </w:rPr>
      </w:pPr>
    </w:p>
    <w:sectPr w:rsidR="00756D14" w:rsidRPr="003A4F4D" w:rsidSect="003009FA">
      <w:headerReference w:type="default" r:id="rId8"/>
      <w:pgSz w:w="16838" w:h="11906" w:orient="landscape"/>
      <w:pgMar w:top="284" w:right="1134" w:bottom="426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801412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64F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99C"/>
    <w:rsid w:val="00117203"/>
    <w:rsid w:val="00125172"/>
    <w:rsid w:val="001262CA"/>
    <w:rsid w:val="00126B3F"/>
    <w:rsid w:val="0012766D"/>
    <w:rsid w:val="0013220E"/>
    <w:rsid w:val="0013602B"/>
    <w:rsid w:val="0013706A"/>
    <w:rsid w:val="001452B0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3C45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6AF7"/>
    <w:rsid w:val="002970B8"/>
    <w:rsid w:val="00297945"/>
    <w:rsid w:val="00297B8E"/>
    <w:rsid w:val="002A34A3"/>
    <w:rsid w:val="002A4B4C"/>
    <w:rsid w:val="002B170F"/>
    <w:rsid w:val="002B23EB"/>
    <w:rsid w:val="002B4214"/>
    <w:rsid w:val="002B422E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09FA"/>
    <w:rsid w:val="00302526"/>
    <w:rsid w:val="00302C6B"/>
    <w:rsid w:val="0030517D"/>
    <w:rsid w:val="00314832"/>
    <w:rsid w:val="0032408C"/>
    <w:rsid w:val="00324B91"/>
    <w:rsid w:val="00325354"/>
    <w:rsid w:val="00327BD8"/>
    <w:rsid w:val="003305E3"/>
    <w:rsid w:val="00330ECE"/>
    <w:rsid w:val="00342E8F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4E89"/>
    <w:rsid w:val="00386D44"/>
    <w:rsid w:val="003877A3"/>
    <w:rsid w:val="003905E4"/>
    <w:rsid w:val="003921FB"/>
    <w:rsid w:val="00396E49"/>
    <w:rsid w:val="003A07BD"/>
    <w:rsid w:val="003A0839"/>
    <w:rsid w:val="003A1F4C"/>
    <w:rsid w:val="003A4F4D"/>
    <w:rsid w:val="003A5E1C"/>
    <w:rsid w:val="003A7DF9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06ADC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453D2"/>
    <w:rsid w:val="004520FC"/>
    <w:rsid w:val="004556F4"/>
    <w:rsid w:val="0045698B"/>
    <w:rsid w:val="00456E24"/>
    <w:rsid w:val="00462153"/>
    <w:rsid w:val="00462894"/>
    <w:rsid w:val="004636A8"/>
    <w:rsid w:val="0046730E"/>
    <w:rsid w:val="004727C6"/>
    <w:rsid w:val="00472D3E"/>
    <w:rsid w:val="00472E3A"/>
    <w:rsid w:val="00472F8C"/>
    <w:rsid w:val="00475A80"/>
    <w:rsid w:val="00476527"/>
    <w:rsid w:val="00481F8F"/>
    <w:rsid w:val="004843AE"/>
    <w:rsid w:val="00491D6E"/>
    <w:rsid w:val="004A1214"/>
    <w:rsid w:val="004A279E"/>
    <w:rsid w:val="004A3B81"/>
    <w:rsid w:val="004A6CC7"/>
    <w:rsid w:val="004B2B94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0CDF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60A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1FD9"/>
    <w:rsid w:val="0062220F"/>
    <w:rsid w:val="00623ED7"/>
    <w:rsid w:val="00624875"/>
    <w:rsid w:val="00626AC0"/>
    <w:rsid w:val="0063072A"/>
    <w:rsid w:val="00634A18"/>
    <w:rsid w:val="00634E46"/>
    <w:rsid w:val="00643FA9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56AB"/>
    <w:rsid w:val="006771FE"/>
    <w:rsid w:val="00684DF0"/>
    <w:rsid w:val="00687307"/>
    <w:rsid w:val="0069052C"/>
    <w:rsid w:val="00696E01"/>
    <w:rsid w:val="006A12A4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713F"/>
    <w:rsid w:val="006E7515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327D2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2D0F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253C"/>
    <w:rsid w:val="00812A05"/>
    <w:rsid w:val="00813E57"/>
    <w:rsid w:val="0081451F"/>
    <w:rsid w:val="00824B0A"/>
    <w:rsid w:val="00824F29"/>
    <w:rsid w:val="00827522"/>
    <w:rsid w:val="00827B40"/>
    <w:rsid w:val="00833D18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3EC6"/>
    <w:rsid w:val="008764B4"/>
    <w:rsid w:val="00876604"/>
    <w:rsid w:val="00876700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40F5"/>
    <w:rsid w:val="008B491C"/>
    <w:rsid w:val="008B663D"/>
    <w:rsid w:val="008C17FF"/>
    <w:rsid w:val="008D05CF"/>
    <w:rsid w:val="008D2DBB"/>
    <w:rsid w:val="008D5814"/>
    <w:rsid w:val="008D6798"/>
    <w:rsid w:val="008D7927"/>
    <w:rsid w:val="008E230B"/>
    <w:rsid w:val="008E60BE"/>
    <w:rsid w:val="008F18EB"/>
    <w:rsid w:val="008F1DCE"/>
    <w:rsid w:val="008F3BDB"/>
    <w:rsid w:val="008F76F0"/>
    <w:rsid w:val="0090172D"/>
    <w:rsid w:val="009042E9"/>
    <w:rsid w:val="0090675C"/>
    <w:rsid w:val="009154BB"/>
    <w:rsid w:val="00917E51"/>
    <w:rsid w:val="00920F6D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1C3A"/>
    <w:rsid w:val="009B2922"/>
    <w:rsid w:val="009B3FC6"/>
    <w:rsid w:val="009B53FB"/>
    <w:rsid w:val="009B685C"/>
    <w:rsid w:val="009C3EF7"/>
    <w:rsid w:val="009C4898"/>
    <w:rsid w:val="009C507D"/>
    <w:rsid w:val="009C6152"/>
    <w:rsid w:val="009D0278"/>
    <w:rsid w:val="009D190F"/>
    <w:rsid w:val="009D3E2E"/>
    <w:rsid w:val="009D4027"/>
    <w:rsid w:val="009D6FDB"/>
    <w:rsid w:val="009D715A"/>
    <w:rsid w:val="009E2DA8"/>
    <w:rsid w:val="009E518C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10E8D"/>
    <w:rsid w:val="00A11517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024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347F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C4D5F"/>
    <w:rsid w:val="00AC731D"/>
    <w:rsid w:val="00AC7733"/>
    <w:rsid w:val="00AD3A6D"/>
    <w:rsid w:val="00AD3DDB"/>
    <w:rsid w:val="00AD4A51"/>
    <w:rsid w:val="00AD588A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6A89"/>
    <w:rsid w:val="00B21F0A"/>
    <w:rsid w:val="00B23F2E"/>
    <w:rsid w:val="00B2460C"/>
    <w:rsid w:val="00B24B1D"/>
    <w:rsid w:val="00B25D2C"/>
    <w:rsid w:val="00B26D09"/>
    <w:rsid w:val="00B30CBC"/>
    <w:rsid w:val="00B31992"/>
    <w:rsid w:val="00B3201A"/>
    <w:rsid w:val="00B321D1"/>
    <w:rsid w:val="00B325E0"/>
    <w:rsid w:val="00B3488D"/>
    <w:rsid w:val="00B34E13"/>
    <w:rsid w:val="00B36106"/>
    <w:rsid w:val="00B41F6A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865B2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178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64FC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4F50"/>
    <w:rsid w:val="00CF6099"/>
    <w:rsid w:val="00CF6AAF"/>
    <w:rsid w:val="00CF6CFF"/>
    <w:rsid w:val="00D02A5E"/>
    <w:rsid w:val="00D04505"/>
    <w:rsid w:val="00D04BE1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9538B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4B0D"/>
    <w:rsid w:val="00DC6E2D"/>
    <w:rsid w:val="00DD348E"/>
    <w:rsid w:val="00DE2F0F"/>
    <w:rsid w:val="00DE4A0B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008C"/>
    <w:rsid w:val="00ED2632"/>
    <w:rsid w:val="00ED3B17"/>
    <w:rsid w:val="00ED53C5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5196D"/>
    <w:rsid w:val="00F54D8D"/>
    <w:rsid w:val="00F6023B"/>
    <w:rsid w:val="00F62000"/>
    <w:rsid w:val="00F71104"/>
    <w:rsid w:val="00F71942"/>
    <w:rsid w:val="00F75257"/>
    <w:rsid w:val="00F75322"/>
    <w:rsid w:val="00F753E1"/>
    <w:rsid w:val="00F803C7"/>
    <w:rsid w:val="00F81F05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  <w14:docId w14:val="32191F9A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32F68-C1CC-4481-AB76-D23380A9D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4</Pages>
  <Words>1319</Words>
  <Characters>7521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6</cp:revision>
  <cp:lastPrinted>2025-12-11T07:34:00Z</cp:lastPrinted>
  <dcterms:created xsi:type="dcterms:W3CDTF">2026-02-18T05:33:00Z</dcterms:created>
  <dcterms:modified xsi:type="dcterms:W3CDTF">2026-02-18T10:46:00Z</dcterms:modified>
</cp:coreProperties>
</file>