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B8602E" w:rsidP="00B8602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6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05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6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4323A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 w:rsidR="00A20B02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6A1" w:rsidRPr="002526A1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526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526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669</w:t>
            </w:r>
          </w:p>
          <w:p w:rsidR="002526A1" w:rsidRDefault="00635EBD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526A1" w:rsidRPr="002526A1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526A1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526A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- 15.07.2026.</w:t>
            </w:r>
          </w:p>
          <w:p w:rsidR="004323AF" w:rsidRPr="004323AF" w:rsidRDefault="004323AF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sz w:val="26"/>
                <w:szCs w:val="26"/>
              </w:rPr>
              <w:t>С 15 июля 2026 года устанавливаются новые правила проведения оценки регулирующего воздействия проектов нормативных правовых актов</w:t>
            </w:r>
            <w:r w:rsidRPr="004323A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2526A1" w:rsidRPr="004323AF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sz w:val="26"/>
                <w:szCs w:val="26"/>
              </w:rPr>
              <w:t xml:space="preserve">В частности, закреплено, что Правила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комиссии, утвержденные постановлением Правительства РФ от 17.12.2012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323AF">
              <w:rPr>
                <w:rFonts w:ascii="PT Astra Serif" w:hAnsi="PT Astra Serif" w:cs="Times New Roman"/>
                <w:sz w:val="26"/>
                <w:szCs w:val="26"/>
              </w:rPr>
              <w:t xml:space="preserve"> 1318, не применяются в отношении проектов актов, проектов решений или их отдельных положений: устанавливающих (изменяющих) критерии подтверждения производства российской промышленной продукции и требования к промышленной продукции, предъявляемые в целях ее отнесения к российской промышленной продукции; утверждающих обязательные постановления в морском порту, правила движения и стоянки судов в бассейнах внутренних водных путей.</w:t>
            </w:r>
          </w:p>
          <w:p w:rsidR="002526A1" w:rsidRPr="004323AF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sz w:val="26"/>
                <w:szCs w:val="26"/>
              </w:rPr>
              <w:t>Пересмотрены положения, касающиеся установления степени регулирующего воздействия для проектов актов, подлежащих оценке регулирующего воздействия и не содержащих обязательные требования, и для проектов актов, содержащих обязательные требования.</w:t>
            </w:r>
          </w:p>
          <w:p w:rsidR="002526A1" w:rsidRPr="004323AF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sz w:val="26"/>
                <w:szCs w:val="26"/>
              </w:rPr>
              <w:t>Скорректированы сроки проведения публичного обсуждения.</w:t>
            </w:r>
          </w:p>
          <w:p w:rsidR="00A20B02" w:rsidRPr="000706A4" w:rsidRDefault="002526A1" w:rsidP="002526A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4323AF">
              <w:rPr>
                <w:rFonts w:ascii="PT Astra Serif" w:hAnsi="PT Astra Serif" w:cs="Times New Roman"/>
                <w:sz w:val="26"/>
                <w:szCs w:val="26"/>
              </w:rPr>
              <w:t xml:space="preserve">Также внесены изменения в Правила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требований и принятия решения о продлении срока действия нормативного правового акта, устанавливающего обязательные требования, или о проведении оценки фактического воздействия нормативного правового акта, устанавливающего обязательные требования, утвержденные постановлением Правительства РФ от 31.12.2020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323AF">
              <w:rPr>
                <w:rFonts w:ascii="PT Astra Serif" w:hAnsi="PT Astra Serif" w:cs="Times New Roman"/>
                <w:sz w:val="26"/>
                <w:szCs w:val="26"/>
              </w:rPr>
              <w:t xml:space="preserve"> 2454.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A20B02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2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573" w:rsidRPr="009C7D59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676</w:t>
            </w:r>
          </w:p>
          <w:p w:rsidR="00E60573" w:rsidRPr="009C7D59" w:rsidRDefault="00635EBD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E6057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мая 2016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E6057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484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60573" w:rsidRPr="009C7D59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9C7D59" w:rsidRPr="00E60573" w:rsidRDefault="009C7D59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С 2027 года изменяются подходы к формированию тарифов для технологических процессов в сфере обращения с ТКО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E60573" w:rsidRPr="00E60573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60573">
              <w:rPr>
                <w:rFonts w:ascii="PT Astra Serif" w:hAnsi="PT Astra Serif" w:cs="Times New Roman"/>
                <w:sz w:val="26"/>
                <w:szCs w:val="26"/>
              </w:rPr>
              <w:t>Согласно поправкам, внесенным в Основы ценообразования в области обращения с ТКО, тарифы на обработку, обезвреживание, захоронение, энергетическую утилизацию и утилизацию путем производства искусственных грунтов устанавливаются в расчете на массу твердых коммунальных отходов.</w:t>
            </w:r>
          </w:p>
          <w:p w:rsidR="00E60573" w:rsidRPr="00E60573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60573">
              <w:rPr>
                <w:rFonts w:ascii="PT Astra Serif" w:hAnsi="PT Astra Serif" w:cs="Times New Roman"/>
                <w:sz w:val="26"/>
                <w:szCs w:val="26"/>
              </w:rPr>
              <w:t>Долгосрочные тарифы, установленные на долгосрочный период регулирования (включающий 2027 год и последующие годы) в расчете на объем ТКО, подлежат корректировке.</w:t>
            </w:r>
          </w:p>
          <w:p w:rsidR="00E60573" w:rsidRPr="00E60573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60573">
              <w:rPr>
                <w:rFonts w:ascii="PT Astra Serif" w:hAnsi="PT Astra Serif" w:cs="Times New Roman"/>
                <w:sz w:val="26"/>
                <w:szCs w:val="26"/>
              </w:rPr>
              <w:t>Также, в частности, внесены уточнения в положения, касающиеся установления долгосрочных тарифов и определение единых тарифов на услугу регионального оператора.</w:t>
            </w:r>
          </w:p>
          <w:p w:rsidR="00A20B02" w:rsidRPr="00FF5850" w:rsidRDefault="00E60573" w:rsidP="00E6057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E60573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постановление вносит изменения в Правила регулирования тарифов в сфере обращения с твердыми коммунальными отходами, в </w:t>
            </w:r>
            <w:proofErr w:type="spellStart"/>
            <w:r w:rsidRPr="00E60573">
              <w:rPr>
                <w:rFonts w:ascii="PT Astra Serif" w:hAnsi="PT Astra Serif" w:cs="Times New Roman"/>
                <w:sz w:val="26"/>
                <w:szCs w:val="26"/>
              </w:rPr>
              <w:t>т.ч</w:t>
            </w:r>
            <w:proofErr w:type="spellEnd"/>
            <w:r w:rsidRPr="00E60573">
              <w:rPr>
                <w:rFonts w:ascii="PT Astra Serif" w:hAnsi="PT Astra Serif" w:cs="Times New Roman"/>
                <w:sz w:val="26"/>
                <w:szCs w:val="26"/>
              </w:rPr>
              <w:t>. определен порядок установления тарифов в случае непредставления организацией в орган регулирования предложения об установлении тарифов.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A20B02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607A8F">
        <w:trPr>
          <w:trHeight w:val="3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</w:t>
            </w:r>
            <w:r w:rsidR="00772E7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04.06.2026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695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- 12.06.2026.</w:t>
            </w:r>
          </w:p>
          <w:p w:rsidR="009C7D59" w:rsidRPr="009C7D59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Правительство РФ расширило перечень инфраструктурных проектов, которые допускается финансировать из Фонда национального благосостояния (ФНБ) сверх установленных лимитов.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Согласно общему правилу не допускается размещение средств ФНБ в ценные бумаги российского эмитента, связанные с реализацией одного и того же инфраструктурного проекта, сверх утвержденного Правительством РФ предельного объема средств, направляемого на финансирование этого инфраструктурного проекта, за исключением отдельных инфраструктурных проектов, определенных распоряжением Правительства РФ от 05.11.2013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2044-р.</w:t>
            </w:r>
          </w:p>
          <w:p w:rsidR="00A20B02" w:rsidRPr="00FF5850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К числу таких проектов отнесена Комплексная программа по расширению производства воздушных судов, авиационных двигателей, приборов и агрегатов, реализуемая </w:t>
            </w:r>
            <w:proofErr w:type="spellStart"/>
            <w:r w:rsidRPr="009C7D59">
              <w:rPr>
                <w:rFonts w:ascii="PT Astra Serif" w:hAnsi="PT Astra Serif" w:cs="Times New Roman"/>
                <w:sz w:val="26"/>
                <w:szCs w:val="26"/>
              </w:rPr>
              <w:t>Госкорпорацией</w:t>
            </w:r>
            <w:proofErr w:type="spellEnd"/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9C7D59">
              <w:rPr>
                <w:rFonts w:ascii="PT Astra Serif" w:hAnsi="PT Astra Serif" w:cs="Times New Roman"/>
                <w:sz w:val="26"/>
                <w:szCs w:val="26"/>
              </w:rPr>
              <w:t>Ростех</w:t>
            </w:r>
            <w:proofErr w:type="spellEnd"/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772E7C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4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E5D" w:rsidRPr="000A5E5D" w:rsidRDefault="000A5E5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A5E5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04.06.2026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A5E5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37-П</w:t>
            </w:r>
          </w:p>
          <w:p w:rsidR="000A5E5D" w:rsidRPr="000A5E5D" w:rsidRDefault="00635EB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A5E5D" w:rsidRPr="000A5E5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делу о проверке конституционности пункта 9 статьи 22 Земельного кодекса Российской Федерации в связи с жалобой муниципального образования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A5E5D" w:rsidRPr="000A5E5D">
              <w:rPr>
                <w:rFonts w:ascii="PT Astra Serif" w:hAnsi="PT Astra Serif" w:cs="Times New Roman"/>
                <w:b/>
                <w:sz w:val="26"/>
                <w:szCs w:val="26"/>
              </w:rPr>
              <w:t>Кемеровский городской округ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A5E5D" w:rsidRPr="009C7D59" w:rsidRDefault="000A5E5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Не противоречащим Конституции РФ признан пункт 9 статьи 22 Земельного кодекса РФ, предполагающий распространение предусмотренного им общего порядка передачи прав и обязанностей по договору аренды земельного участка, находящегося в государственной или муниципальной собственности, без согласия арендодателя на случаи, когда такой договор заключается без проведения торгов с гражданином, имеющим право на первоочередное или внеочередное приобретение земельного участка в соответствии с федеральным законом и (или) законами субъектов РФ, притом что договор аренды был заключен в соответствии с предусмотренным законодательством порядком.</w:t>
            </w:r>
          </w:p>
          <w:p w:rsidR="00A20B02" w:rsidRPr="000706A4" w:rsidRDefault="000A5E5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Конституционный Суд, в частности, указал, что для случаев предоставления земельных участков без проведения торгов в аренду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РФ, в том числе ветеранам труда, каких-либо ограничений федеральными законами не установлено. В этих случаях передача прав и обязанностей арендатора земельного участка, находящегося в публичной собственности, осуществляется по правилам пункта 9 статьи 22 Земельного кодекса РФ, т.е. при заключении договора аренды на срок более пяти лет получать согласие арендодателя на такую передачу не требуется. Не содержит закон и специальных правил в отношении круга субъектов, которым арендатором могут быть переданы его права и обязанности по договору, а также каких-либо ограничений или требований в части сохранения в силе при такой передаче первоначальных условий договора, включая условие о размере арендной платы.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607A8F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E5D" w:rsidRPr="009C7D59" w:rsidRDefault="000A5E5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03.06.2026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ЕД-1-26/368@</w:t>
            </w:r>
          </w:p>
          <w:p w:rsidR="000A5E5D" w:rsidRPr="009C7D59" w:rsidRDefault="00635EB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A5E5D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ФНС России от 15.07.2011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A5E5D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ММВ-7-6/443@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0A5E5D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A5E5D">
              <w:rPr>
                <w:rFonts w:ascii="PT Astra Serif" w:hAnsi="PT Astra Serif" w:cs="Times New Roman"/>
                <w:sz w:val="26"/>
                <w:szCs w:val="26"/>
              </w:rPr>
              <w:t xml:space="preserve">Пилотный проект проводится в соответствии с приказом ФНС России от 15.07.2011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0A5E5D">
              <w:rPr>
                <w:rFonts w:ascii="PT Astra Serif" w:hAnsi="PT Astra Serif" w:cs="Times New Roman"/>
                <w:sz w:val="26"/>
                <w:szCs w:val="26"/>
              </w:rPr>
              <w:t xml:space="preserve"> ММВ-7-6/443@.</w:t>
            </w:r>
          </w:p>
          <w:p w:rsidR="009C7D59" w:rsidRPr="000706A4" w:rsidRDefault="009C7D59" w:rsidP="000A5E5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До 1 июля 2027 года продлевается действие пилотного проекта по представлению налоговой и бухгалтерской отчетности в электронной форме через официальный сайт ФНС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B3380E" w:rsidRDefault="001A73E5" w:rsidP="00607A8F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6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30.03.2026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01-06-13/03-25696</w:t>
            </w:r>
          </w:p>
          <w:p w:rsidR="009E48C3" w:rsidRPr="009C7D59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вопросу применения </w:t>
            </w:r>
            <w:proofErr w:type="spellStart"/>
            <w:r w:rsidR="009E48C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>пп</w:t>
            </w:r>
            <w:proofErr w:type="spellEnd"/>
            <w:r w:rsidR="009E48C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>. 64 п. 1 ст. 251 НК РФ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E48C3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ФНС разъяснила, как уплачивается налог на прибыль при передаче имущества в безвозмездное владение и (или) пользование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Отмечено, что безвозмездно полученное право пользования имуществом рассматривается как имущественное право, стоимость которого учитывается в составе внереализационных доходов при отсутствии специального основания, предусмотренного статьей 251 НК РФ.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Так, на основании подпункта 64 пункта 1 статьи 251 НК РФ доходы в виде безвозмездно полученных имущественных прав не учитываются при исчислении налога на прибыль в случае, если законодательством, актами Правительства РФ на организацию возложена обязанность по принятию в собственность соответствующего имущества (имущественных прав, результатов работ, услуг).</w:t>
            </w:r>
          </w:p>
          <w:p w:rsidR="00A20B02" w:rsidRPr="000706A4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Таким образом, при наличии обязанности принять имущество в безвозмездное владение и (или) пользование, вследствие чего у организации возникает право пользования этим имуществом, доход в виде соответствующего имущественного права не учитывается при определении налоговой базы по налогу на прибыль организаций на основании подпункта 64 пункта 1 статьи 251 НК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7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29.05.2026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БС-36-21/4626@</w:t>
            </w:r>
          </w:p>
          <w:p w:rsidR="009E48C3" w:rsidRPr="009C7D59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C7D59">
              <w:rPr>
                <w:rFonts w:ascii="PT Astra Serif" w:hAnsi="PT Astra Serif" w:cs="Times New Roman"/>
                <w:b/>
                <w:sz w:val="26"/>
                <w:szCs w:val="26"/>
              </w:rPr>
              <w:t>Об определении плательщиков по налогам на имущество, а также налоговых ставок по налогу на имущество организаций в отношении объектов недвижимого имущества, кадастровая стоимость которых превышает 300 млн. рублей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E48C3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ФНС направлена позиция Минфина по вопросу о плательщиках налога на имущество и налоговых ставках в отношении объектов недвижимости, кадастровая стоимость которых превышает 300 млн. рублей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Сообщается, в частности, что публично-правовые образования (РФ, субъекты РФ, муниципальные образования) не могут рассматриваться в качестве организации и, следовательно, не признаются налогоплательщиками по транспортному налогу и налогу на имущество организаций.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В части налоговых ставок по налогу на имущество сообщается следующее.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В соответствии с НК РФ в отношении объектов недвижимости, кадастровая стоимость которых превышает 300 млн. рублей, налоговые ставки устанавливаются законами субъектов РФ и не могут превышать 2,5%.</w:t>
            </w:r>
          </w:p>
          <w:p w:rsidR="00A20B02" w:rsidRPr="00607A8F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sz w:val="26"/>
                <w:szCs w:val="26"/>
              </w:rPr>
              <w:t>По мнению Минфина, в случае, если законом субъекта РФ определены налоговые ставки в отношении объектов недвижимого имущества, облагаемых налогом с их кадастровой стоимости, при этом ставки не дифференцированы в зависимости от ее величины (до 300 или свыше 300 млн. руб.), налогообложение таких объектов (независимо от величины их кадастровой стоимости) осуществляется по налоговой ставке, установленной законом субъекта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607A8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01.06.2026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БС-36-21/4656@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О применении религиозной организацией освобождения от уплаты налога на имущество организаций в отношении жилого помещения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C7D59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Религиозная организация вправе применить льготу по налогу на имущество организаций, если жилое помещение используется в религиозной деятельности в качестве объекта религиозного назначения.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Льгота предоставляется в соответствии с пунктом 2 статьи 381 НК РФ.</w:t>
            </w:r>
          </w:p>
          <w:p w:rsidR="00A20B02" w:rsidRPr="000706A4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Также отмечено, что НК РФ не содержит конкретный перечень документов, подтверждающих право налогоплательщика на применение указанной налоговой льготы. По мнению ФНС, это могут быть любые документы, подтверждающие использование помещений в целях, указанных в статье 16 Федерального закона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О свободе совести и о религиозных объединениях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607A8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9.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03.06.2026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СД-36-3/4718@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направлении письма Минэкономразвития России от 01.06.2026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Д08и-17496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C7D59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Даны разъяснения по вопросу отнесения деятельности по оказанию услуг по предоставлению мест для временного проживания физических лиц в гостевых домах к группировке 55.20 Общероссийского классификатора видов экономической деятельности (ОК 029-2014 (ОКВЭД 2).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что согласно Общероссийскому классификатору видов экономической деятельности (ОК 029-2014 (ОКВЭД 2), утвержденному приказом </w:t>
            </w:r>
            <w:proofErr w:type="spellStart"/>
            <w:r w:rsidRPr="009C7D59">
              <w:rPr>
                <w:rFonts w:ascii="PT Astra Serif" w:hAnsi="PT Astra Serif" w:cs="Times New Roman"/>
                <w:sz w:val="26"/>
                <w:szCs w:val="26"/>
              </w:rPr>
              <w:t>Росстандарта</w:t>
            </w:r>
            <w:proofErr w:type="spellEnd"/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от 31 января 2014 г.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14-ст, в разделе I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Деятельность гостиниц и предприятий общественного питания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предусмотрены в том числе группировки: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55.10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Деятельность гостиниц и прочих мест для временного проживания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55.20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Деятельность по предоставлению мест для краткосрочного проживания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Согласно Федеральному закону от 7 июня 2025 г.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127-ФЗ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О проведении эксперимента по предоставлению услуг гостевых домов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гостевой дом определяется как индивидуальный жилой дом или его часть, используемые для предоставления услуг по временному проживанию физических лиц, а также иных услуг, связанных с обслуживанием проживающих.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По мнению Минэкономразвития России, деятельность по оказанию услуг гостевых домов по своему экономическому содержанию может быть отнесена к группировке 55.20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Деятельность по предоставлению мест для краткосрочного проживания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, поскольку указанная группировка охватывает деятельность по предоставлению мест для временного проживания, в том числе в жилых домах и иных аналогичных средствах размещения.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Вопрос отнесения конкретного вида деятельности к соответствующему коду ОКВЭД в каждом конкретном случае осуществляется хозяйствующим субъектом самостоятельно исходя из фактического содержания осуществляемой деятельности в соответствии с Постановлением Правительства РФ от 7 июня 2019 г.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733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Об общероссийских классификаторах технико-экономической и социальной информации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10.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04.06.2026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БС-36-21/4784@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Об условиях применения налоговой льготы, предусмотренной пунктом 17 статьи 381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C7D59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ФНС информирует о применении налоговой льготы в отношении имущества, указанного в пункте 17 статьи 381 НК РФ, учтенного на балансе резидента особой экономической зоны (ОЭЗ).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Льгота предоставляется в отношении имущества, созданного или приобретенного в целях ведения деятельности на территории ОЭЗ, используемого на территории ОЭЗ в рамках соглашения о создании ОЭЗ и расположенного на территории данной ОЭЗ.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Согласно позиции ФНС налоговая льгота </w:t>
            </w:r>
            <w:proofErr w:type="gramStart"/>
            <w:r w:rsidRPr="009C7D59">
              <w:rPr>
                <w:rFonts w:ascii="PT Astra Serif" w:hAnsi="PT Astra Serif" w:cs="Times New Roman"/>
                <w:sz w:val="26"/>
                <w:szCs w:val="26"/>
              </w:rPr>
              <w:t>применяется</w:t>
            </w:r>
            <w:proofErr w:type="gramEnd"/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начиная со дня приобретения организацией статуса резидента ОЭЗ до истечения десяти лет с месяца, следующего за месяцем постановки на учет этого имущества.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Также, по мнению ФНС, в случае, если соглашением о создании ОЭЗ не предусмотрена передача в аренду недвижимого имущества другим резидентам ОЭЗ, в отношении которого была применена налоговая льгота, такое использование объектов недвижимости, переданных в аренду, не соответствует условиям применения налоговой льготы.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Не облагаются налогом легковые автомобили, оборудованные для инвалидов или полученные через органы соцзащиты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C7D59" w:rsidRDefault="009C7D59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ФНС: для легковых автомобилей, которые приобретены через органы соцзащиты населения, а также специально оборудованных для использования инвалидами, предусмотрено освобождение от налогообложения.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Сообщены условия освобождения от налогообложения автомобилей для инвалидов.</w:t>
            </w:r>
          </w:p>
          <w:p w:rsidR="009E48C3" w:rsidRPr="009C7D59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Для применения льготы в налоговый орган можно представить подтверждающие документы (ПТС, договор о приобретении автомобиля и т.п.).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lang w:val="en-US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Также сообщается, что с 2027 года вводится периодический информационный обмен налоговых органов с органами соцзащиты и организациями, которые передали физическим лицам подобные легковые автомобили.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323A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23AF" w:rsidRPr="004323AF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04.06.2026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БС-36-11/4766@</w:t>
            </w:r>
          </w:p>
          <w:p w:rsidR="004323AF" w:rsidRDefault="00635EBD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323AF"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>О применении абзаца седьмого пункта 8 статьи 217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C7D59" w:rsidRPr="009C7D59" w:rsidRDefault="009C7D59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Разъяснены условия освобождения от НДФЛ сумм единовременных выплат, осуществляемых работодателями работникам при рождении (усыновлении, удочерении) ребенка, установлении опеки.</w:t>
            </w:r>
          </w:p>
          <w:p w:rsidR="004323AF" w:rsidRPr="009C7D59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В соответствии с абзацем седьмым пункта 8 статьи 217 НК РФ не облагаются НДФЛ суммы единовременных выплат (в том числе в виде материальной помощи), выплачиваемых работодателями в течение первого года после рождения (усыновления, удочерения), установления опеки, но не более 1 миллиона рублей на каждого ребенка.</w:t>
            </w:r>
          </w:p>
          <w:p w:rsidR="004323AF" w:rsidRPr="009E48C3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Соответствующие суммы освобождаются от налогообложения, в том числе если такие выплаты производятся несколькими работодателями в пользу одного налогоплательщика.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323A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23AF" w:rsidRDefault="004323AF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29.05.2026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23-06-07/45703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формировании информации о доходах бюджетов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Электронный </w:t>
            </w:r>
            <w:proofErr w:type="gramStart"/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>бюджет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»«</w:t>
            </w:r>
            <w:proofErr w:type="gramEnd"/>
          </w:p>
          <w:p w:rsidR="004323AF" w:rsidRPr="009C7D59" w:rsidRDefault="004323AF" w:rsidP="009C7D5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Министерство</w:t>
            </w:r>
            <w:r w:rsidR="009C7D59" w:rsidRPr="009C7D59">
              <w:rPr>
                <w:rFonts w:ascii="PT Astra Serif" w:hAnsi="PT Astra Serif" w:cs="Times New Roman"/>
                <w:sz w:val="26"/>
                <w:szCs w:val="26"/>
              </w:rPr>
              <w:t>м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финансов Российской Федерации по вопросу формирования информации о доходах бюджетов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в целях обеспечения реализации положений постановления Правительства Российской Федерации от 31 августа 2016 г.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868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>О порядке формирования и ведения перечня источников доходов Российской Федерации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и в связи с завершением основной части технических доработок в </w:t>
            </w:r>
            <w:r w:rsidR="003A7E65">
              <w:rPr>
                <w:rFonts w:ascii="PT Astra Serif" w:hAnsi="PT Astra Serif" w:cs="Times New Roman"/>
                <w:sz w:val="26"/>
                <w:szCs w:val="26"/>
              </w:rPr>
              <w:t xml:space="preserve">указанном 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Перечне </w:t>
            </w:r>
            <w:r w:rsidR="009C7D59" w:rsidRPr="009C7D59">
              <w:rPr>
                <w:rFonts w:ascii="PT Astra Serif" w:hAnsi="PT Astra Serif" w:cs="Times New Roman"/>
                <w:sz w:val="26"/>
                <w:szCs w:val="26"/>
              </w:rPr>
              <w:t>подготовлен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="009C7D59"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и направлен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о</w:t>
            </w:r>
            <w:r w:rsidR="009C7D59"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9C7D59">
              <w:rPr>
                <w:rFonts w:ascii="PT Astra Serif" w:hAnsi="PT Astra Serif" w:cs="Times New Roman"/>
                <w:sz w:val="26"/>
                <w:szCs w:val="26"/>
              </w:rPr>
              <w:t>письмо</w:t>
            </w:r>
            <w:r w:rsidRPr="009C7D59">
              <w:rPr>
                <w:rFonts w:ascii="PT Astra Serif" w:hAnsi="PT Astra Serif" w:cs="Times New Roman"/>
                <w:sz w:val="26"/>
                <w:szCs w:val="26"/>
              </w:rPr>
              <w:t xml:space="preserve"> об организации работы по формированию такой информации.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323A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14.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23AF" w:rsidRPr="004323AF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29.05.2026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АБ-36-20/4585@</w:t>
            </w:r>
          </w:p>
          <w:p w:rsidR="004323AF" w:rsidRDefault="00635EBD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323AF" w:rsidRPr="004323AF">
              <w:rPr>
                <w:rFonts w:ascii="PT Astra Serif" w:hAnsi="PT Astra Serif" w:cs="Times New Roman"/>
                <w:b/>
                <w:sz w:val="26"/>
                <w:szCs w:val="26"/>
              </w:rPr>
              <w:t>О чеках коррекции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7E65" w:rsidRPr="003A7E65" w:rsidRDefault="003A7E65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Организациям общественного питания, получившим освобождение от НДС с 01.04.2026, не требуется формировать кассовые чеки коррекции.</w:t>
            </w:r>
          </w:p>
          <w:p w:rsidR="004323AF" w:rsidRPr="003A7E65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Федеральным законом от 25.04.2026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 104-ФЗ предусмотрено с 01.04.2026 освобождение от НДС для отдельных организаций и ИП, оказывающих услуги общественного питания.</w:t>
            </w:r>
          </w:p>
          <w:p w:rsidR="004323AF" w:rsidRPr="003A7E65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Вместе с тем, организации и ИП, оказывающие услуги общественного питания, являющиеся плательщиками НДС, в соответствии с требованиями законодательства формировали кассовые чеки с выделением суммы НДС, в том числе в период с 01.04.2026 до 25.04.2026.</w:t>
            </w:r>
          </w:p>
          <w:p w:rsidR="004323AF" w:rsidRPr="009E48C3" w:rsidRDefault="004323AF" w:rsidP="00432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В письме сообщается, что на налогоплательщиков, получивших освобождение от НДС, требование Федерального закона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 54-ФЗ о формировании кассовых чеков коррекции для исправления ставки НДС кассовых чеков, сформированных с выделением суммы НДС в указанный период, не распространяется.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3AF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15.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1254383-8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Бюджетный кодекс Российской Федерации и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97E2F" w:rsidRDefault="00097E2F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97E2F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Внесен Правительством РФ.</w:t>
            </w:r>
          </w:p>
          <w:p w:rsidR="003A7E65" w:rsidRPr="003A7E65" w:rsidRDefault="003A7E65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Подготовлен законопроект, направленный на укрепление финансовой устойчивости и повышение уровня бюджетной обеспеченности региональных бюджетов.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Так, в частности, в соответствии с законопроектом Федеральное казначейство будет вправе провести в 2026 году эксперимент по предоставлению субъектам РФ бюджетного кредита на пополнение остатка средств на едином счете бюджета, со сроком его возврата не позднее 5 рабочих дней месяца, следующего за месяцем, в котором указанный кредит предоставлен. Правительство РФ наделяется полномочием по определению порядка и условий предоставления и возврата указанного бюджетного кредита.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Уточняются положения, касающиеся осуществления казначейского мониторинга в 2027 - 2029 годах.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Правительству РФ предоставляется право установить в 2026 году особенности применения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на строительство крупнотоннажных судов, заключенным до 1 января 2022 года.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В целях расширения включения в оборот цифрового рубля предлагается предусмотреть в 2026 году право Правительства РФ принимать решения об использовании бюджетных ассигнований резервного фонда Правительства РФ с применением цифрового рубля.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Также, в частности, предлагается внести изменения в Закон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 промышленной политике в Российской Федерации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>, предусматривающие в числе прочего перенос с 1 сентября на 1 декабря 2026 г. вступление в силу положений, регулирующих порядок уплаты технологического сбора.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На период с 1 августа по 31 декабря 2026 года установлены нормативы зачисления налоговых доходов от уплаты акцизов на спирт этиловый, на спиртосодержащую продукцию и алкогольную продукцию: 15,6 процента - в федеральный бюджет; 84,4 процента - в бюджеты субъектов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3A7E6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9E48C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Default="001A73E5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16.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635EB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1254384-8</w:t>
            </w:r>
          </w:p>
          <w:p w:rsidR="009E48C3" w:rsidRDefault="00635EBD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>О почтовой связи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9E48C3" w:rsidRPr="009E48C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B178B" w:rsidRPr="009E48C3" w:rsidRDefault="002B178B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B178B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Законопроектом предусматриваются изменения в Федеральный закон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 почтовой связи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, ЖК РФ, Федеральный закон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 связи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 и иные федеральные законы в целях в том числе: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обеспечения приема электронных средств платежа в пользу организаций федеральной почтовой связи без взимания соответствующего вознаграждения кредитных организаций;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направления платежных документов за жилое помещение и жилищно-коммунальные услуги в электронной форме на Единый </w:t>
            </w:r>
            <w:bookmarkStart w:id="0" w:name="_GoBack"/>
            <w:bookmarkEnd w:id="0"/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портал </w:t>
            </w:r>
            <w:proofErr w:type="spellStart"/>
            <w:r w:rsidRPr="003A7E65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3A7E65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закрепления возможности размещения организациями федеральной почтовой связи рекламы на доставляемых ими платежных документах;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определения статуса информационной системы организации федеральной почтовой связи, обеспечивающей пересылку почтовых отправлений в электронной форме;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обеспечения возможности привлечения АО 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Почта России</w:t>
            </w:r>
            <w:r w:rsidR="00635EBD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E65">
              <w:rPr>
                <w:rFonts w:ascii="PT Astra Serif" w:hAnsi="PT Astra Serif" w:cs="Times New Roman"/>
                <w:sz w:val="26"/>
                <w:szCs w:val="26"/>
              </w:rPr>
              <w:t xml:space="preserve"> юридических лиц, индивидуальных предпринимателей для обработки и доставки почтовых отправлений;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оптимизации графиков работы отделений почтовой связи;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использования абонентских почтовых шкафов и почтовых абонентских ящиков в многоквартирных домах только организациями федеральной почтовой связи, управляющими организациями и иными организациями, которым вносится плата за жилое помещение и жилищно-коммунальные услуги, а также организациями, выбранными общим собранием собственников помещений в многоквартирном доме;</w:t>
            </w:r>
          </w:p>
          <w:p w:rsidR="009E48C3" w:rsidRPr="003A7E65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создания цифровых почтовых ящиков для юридических и физических лиц в целях направления им юридически значимых и иных сообщений.</w:t>
            </w:r>
          </w:p>
          <w:p w:rsidR="009E48C3" w:rsidRPr="009E48C3" w:rsidRDefault="009E48C3" w:rsidP="009E48C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E65">
              <w:rPr>
                <w:rFonts w:ascii="PT Astra Serif" w:hAnsi="PT Astra Serif" w:cs="Times New Roman"/>
                <w:sz w:val="26"/>
                <w:szCs w:val="26"/>
              </w:rPr>
              <w:t>В случае принятия закона он вступит в силу с 1 сентября 2026 года, за исключением отдельных положений, для которых устанавливаются иные сроки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8C3" w:rsidRPr="00607A8F" w:rsidRDefault="001A73E5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9E2E2F">
          <w:rPr>
            <w:rFonts w:ascii="PT Astra Serif" w:hAnsi="PT Astra Serif"/>
            <w:noProof/>
          </w:rPr>
          <w:t>2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5E5D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A73E5"/>
    <w:rsid w:val="001B3C0B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35EBD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D4AD1"/>
    <w:rsid w:val="00FD662C"/>
    <w:rsid w:val="00FE28A6"/>
    <w:rsid w:val="00FE390E"/>
    <w:rsid w:val="00FE62A7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4:docId w14:val="0E079C9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F8C55-CE12-4630-9A48-87049CA81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3049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11</cp:revision>
  <cp:lastPrinted>2025-12-11T07:34:00Z</cp:lastPrinted>
  <dcterms:created xsi:type="dcterms:W3CDTF">2026-06-15T02:01:00Z</dcterms:created>
  <dcterms:modified xsi:type="dcterms:W3CDTF">2026-06-15T03:36:00Z</dcterms:modified>
</cp:coreProperties>
</file>